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347F014D" w:rsidR="00AA147A" w:rsidRPr="004D2AB8" w:rsidRDefault="00AA147A" w:rsidP="00AA147A">
      <w:pPr>
        <w:pStyle w:val="a3"/>
        <w:tabs>
          <w:tab w:val="clear" w:pos="4320"/>
          <w:tab w:val="clear" w:pos="8640"/>
          <w:tab w:val="right" w:pos="9072"/>
        </w:tabs>
        <w:rPr>
          <w:b/>
          <w:bCs/>
          <w:sz w:val="22"/>
          <w:szCs w:val="22"/>
          <w:lang w:val="en-AU"/>
        </w:rPr>
      </w:pPr>
      <w:r w:rsidRPr="004D2AB8">
        <w:rPr>
          <w:b/>
          <w:bCs/>
          <w:sz w:val="22"/>
          <w:szCs w:val="22"/>
          <w:lang w:val="en-AU"/>
        </w:rPr>
        <w:t>3GPP TSG RAN WG1 Meeting #</w:t>
      </w:r>
      <w:r w:rsidR="00DC7C14" w:rsidRPr="004D2AB8">
        <w:rPr>
          <w:b/>
          <w:bCs/>
          <w:sz w:val="22"/>
          <w:szCs w:val="22"/>
          <w:lang w:val="en-AU"/>
        </w:rPr>
        <w:t>9</w:t>
      </w:r>
      <w:r w:rsidR="00853D95">
        <w:rPr>
          <w:b/>
          <w:bCs/>
          <w:sz w:val="22"/>
          <w:szCs w:val="22"/>
          <w:lang w:val="en-AU"/>
        </w:rPr>
        <w:t>5</w:t>
      </w:r>
      <w:r w:rsidRPr="004D2AB8">
        <w:rPr>
          <w:b/>
          <w:bCs/>
          <w:sz w:val="22"/>
          <w:szCs w:val="22"/>
          <w:lang w:val="en-AU"/>
        </w:rPr>
        <w:tab/>
      </w:r>
      <w:r w:rsidR="00D97205" w:rsidRPr="00D97205">
        <w:rPr>
          <w:b/>
          <w:bCs/>
          <w:sz w:val="22"/>
          <w:szCs w:val="22"/>
          <w:lang w:val="en-AU"/>
        </w:rPr>
        <w:t>R1-1812650</w:t>
      </w:r>
    </w:p>
    <w:p w14:paraId="7BB8F6D8" w14:textId="5EE06FBF" w:rsidR="00320166" w:rsidRPr="004D2AB8" w:rsidRDefault="00D85D7A" w:rsidP="00320166">
      <w:pPr>
        <w:pStyle w:val="a3"/>
        <w:rPr>
          <w:b/>
          <w:bCs/>
          <w:sz w:val="22"/>
          <w:szCs w:val="22"/>
          <w:lang w:val="en-GB"/>
        </w:rPr>
      </w:pPr>
      <w:r w:rsidRPr="00D85D7A">
        <w:rPr>
          <w:b/>
          <w:bCs/>
          <w:sz w:val="22"/>
          <w:szCs w:val="22"/>
          <w:lang w:val="en-GB"/>
        </w:rPr>
        <w:t>Spokane, USA, November 12th – 16th, 2018</w:t>
      </w:r>
    </w:p>
    <w:p w14:paraId="47832D48" w14:textId="62F21267" w:rsidR="00AA147A" w:rsidRPr="004D2AB8" w:rsidRDefault="00AA147A" w:rsidP="00751AB9">
      <w:pPr>
        <w:pStyle w:val="a3"/>
        <w:tabs>
          <w:tab w:val="clear" w:pos="4320"/>
        </w:tabs>
        <w:rPr>
          <w:b/>
          <w:bCs/>
          <w:sz w:val="22"/>
          <w:szCs w:val="22"/>
          <w:lang w:val="en-GB"/>
        </w:rPr>
      </w:pPr>
    </w:p>
    <w:p w14:paraId="0E6CF4D5" w14:textId="77777777" w:rsidR="00AA147A" w:rsidRPr="004D2AB8" w:rsidRDefault="00AA147A" w:rsidP="00AA147A">
      <w:pPr>
        <w:pStyle w:val="a3"/>
        <w:rPr>
          <w:b/>
          <w:bCs/>
          <w:lang w:val="en-AU"/>
        </w:rPr>
      </w:pPr>
    </w:p>
    <w:p w14:paraId="04F94269" w14:textId="15360450" w:rsidR="00AA147A" w:rsidRPr="004D2AB8" w:rsidRDefault="00AA147A" w:rsidP="00AA147A">
      <w:pPr>
        <w:tabs>
          <w:tab w:val="left" w:pos="1820"/>
        </w:tabs>
        <w:spacing w:after="60"/>
        <w:jc w:val="both"/>
        <w:rPr>
          <w:b/>
          <w:bCs/>
          <w:lang w:val="en-AU"/>
        </w:rPr>
      </w:pPr>
      <w:r w:rsidRPr="004D2AB8">
        <w:rPr>
          <w:b/>
          <w:lang w:val="en-AU"/>
        </w:rPr>
        <w:t>Agenda Item:</w:t>
      </w:r>
      <w:r w:rsidRPr="004D2AB8">
        <w:rPr>
          <w:b/>
          <w:bCs/>
          <w:lang w:val="en-AU"/>
        </w:rPr>
        <w:tab/>
      </w:r>
      <w:r w:rsidR="00751AB9" w:rsidRPr="004D2AB8">
        <w:rPr>
          <w:b/>
          <w:bCs/>
          <w:lang w:val="en-AU"/>
        </w:rPr>
        <w:t>7</w:t>
      </w:r>
      <w:r w:rsidR="00DC3080" w:rsidRPr="004D2AB8">
        <w:rPr>
          <w:b/>
          <w:bCs/>
          <w:lang w:val="en-AU"/>
        </w:rPr>
        <w:t>.2.</w:t>
      </w:r>
      <w:r w:rsidR="00751AB9" w:rsidRPr="004D2AB8">
        <w:rPr>
          <w:b/>
          <w:bCs/>
          <w:lang w:val="en-AU"/>
        </w:rPr>
        <w:t>4</w:t>
      </w:r>
      <w:r w:rsidR="00DC3080" w:rsidRPr="004D2AB8">
        <w:rPr>
          <w:b/>
          <w:bCs/>
          <w:lang w:val="en-AU"/>
        </w:rPr>
        <w:t>.</w:t>
      </w:r>
      <w:r w:rsidR="002A6A6E" w:rsidRPr="004D2AB8">
        <w:rPr>
          <w:b/>
          <w:bCs/>
          <w:lang w:val="en-AU"/>
        </w:rPr>
        <w:t>1.</w:t>
      </w:r>
      <w:r w:rsidR="00320166" w:rsidRPr="004D2AB8">
        <w:rPr>
          <w:b/>
          <w:bCs/>
          <w:lang w:val="en-AU"/>
        </w:rPr>
        <w:t>3</w:t>
      </w:r>
    </w:p>
    <w:p w14:paraId="69755E01" w14:textId="77777777" w:rsidR="00AA147A" w:rsidRPr="004D2AB8" w:rsidRDefault="00AA147A" w:rsidP="00AA147A">
      <w:pPr>
        <w:tabs>
          <w:tab w:val="left" w:pos="1820"/>
        </w:tabs>
        <w:spacing w:after="60"/>
        <w:jc w:val="both"/>
        <w:rPr>
          <w:b/>
          <w:bCs/>
          <w:lang w:val="en-AU"/>
        </w:rPr>
      </w:pPr>
      <w:r w:rsidRPr="004D2AB8">
        <w:rPr>
          <w:b/>
          <w:lang w:val="en-AU"/>
        </w:rPr>
        <w:t>Source:</w:t>
      </w:r>
      <w:r w:rsidRPr="004D2AB8">
        <w:rPr>
          <w:b/>
          <w:bCs/>
          <w:lang w:val="en-AU"/>
        </w:rPr>
        <w:t xml:space="preserve"> </w:t>
      </w:r>
      <w:r w:rsidRPr="004D2AB8">
        <w:rPr>
          <w:b/>
          <w:bCs/>
          <w:lang w:val="en-AU"/>
        </w:rPr>
        <w:tab/>
        <w:t>NEC</w:t>
      </w:r>
    </w:p>
    <w:p w14:paraId="56A43E7A" w14:textId="385B9673" w:rsidR="00AA4A5D" w:rsidRPr="004D2AB8" w:rsidRDefault="00AA4A5D" w:rsidP="00AA4A5D">
      <w:pPr>
        <w:tabs>
          <w:tab w:val="left" w:pos="1820"/>
        </w:tabs>
        <w:spacing w:after="60"/>
        <w:ind w:left="1820" w:hanging="1820"/>
        <w:rPr>
          <w:b/>
          <w:lang w:val="en-AU"/>
        </w:rPr>
      </w:pPr>
      <w:r w:rsidRPr="004D2AB8">
        <w:rPr>
          <w:b/>
          <w:lang w:val="en-AU"/>
        </w:rPr>
        <w:t>Title:</w:t>
      </w:r>
      <w:r w:rsidRPr="004D2AB8">
        <w:rPr>
          <w:b/>
          <w:bCs/>
          <w:lang w:val="en-AU"/>
        </w:rPr>
        <w:tab/>
      </w:r>
      <w:r w:rsidR="00320166" w:rsidRPr="004D2AB8">
        <w:rPr>
          <w:b/>
          <w:bCs/>
          <w:lang w:val="en-AU"/>
        </w:rPr>
        <w:t xml:space="preserve">Synchronization mechanism for </w:t>
      </w:r>
      <w:r w:rsidR="00B63B1C" w:rsidRPr="004D2AB8">
        <w:rPr>
          <w:b/>
          <w:bCs/>
          <w:lang w:val="en-AU"/>
        </w:rPr>
        <w:t xml:space="preserve">NR </w:t>
      </w:r>
      <w:r w:rsidR="008C4203">
        <w:rPr>
          <w:b/>
          <w:bCs/>
          <w:lang w:val="en-AU"/>
        </w:rPr>
        <w:t>V2X</w:t>
      </w:r>
      <w:r w:rsidR="00751AB9" w:rsidRPr="004D2AB8">
        <w:rPr>
          <w:b/>
          <w:bCs/>
          <w:lang w:val="en-AU"/>
        </w:rPr>
        <w:t xml:space="preserve"> </w:t>
      </w:r>
    </w:p>
    <w:p w14:paraId="75FDC0A8" w14:textId="02BF5879" w:rsidR="00AA4A5D" w:rsidRPr="004D2AB8" w:rsidRDefault="00AA4A5D" w:rsidP="00AA4A5D">
      <w:pPr>
        <w:pBdr>
          <w:bottom w:val="single" w:sz="6" w:space="7" w:color="auto"/>
        </w:pBdr>
        <w:tabs>
          <w:tab w:val="left" w:pos="1820"/>
        </w:tabs>
        <w:jc w:val="both"/>
        <w:rPr>
          <w:rFonts w:eastAsia="MS Mincho"/>
          <w:b/>
          <w:bCs/>
          <w:lang w:val="en-AU" w:eastAsia="ja-JP"/>
        </w:rPr>
      </w:pPr>
      <w:r w:rsidRPr="004D2AB8">
        <w:rPr>
          <w:b/>
          <w:lang w:val="en-AU"/>
        </w:rPr>
        <w:t>Document for:</w:t>
      </w:r>
      <w:r w:rsidRPr="004D2AB8">
        <w:rPr>
          <w:b/>
          <w:bCs/>
          <w:lang w:val="en-AU"/>
        </w:rPr>
        <w:tab/>
      </w:r>
      <w:r w:rsidR="00907F18" w:rsidRPr="004D2AB8">
        <w:rPr>
          <w:b/>
          <w:bCs/>
          <w:lang w:val="en-AU"/>
        </w:rPr>
        <w:t>Discussion</w:t>
      </w:r>
      <w:r w:rsidR="00D15440" w:rsidRPr="004D2AB8">
        <w:rPr>
          <w:b/>
          <w:bCs/>
          <w:lang w:val="en-AU"/>
        </w:rPr>
        <w:t>/Decisio</w:t>
      </w:r>
      <w:r w:rsidR="00E3211F" w:rsidRPr="004D2AB8">
        <w:rPr>
          <w:b/>
          <w:bCs/>
          <w:lang w:val="en-AU"/>
        </w:rPr>
        <w:t>n</w:t>
      </w:r>
    </w:p>
    <w:p w14:paraId="3E09BF39" w14:textId="77777777" w:rsidR="00012620" w:rsidRPr="004D2AB8" w:rsidRDefault="00012620" w:rsidP="00012620">
      <w:pPr>
        <w:pStyle w:val="1"/>
        <w:spacing w:after="120"/>
        <w:jc w:val="both"/>
        <w:rPr>
          <w:rFonts w:ascii="Times New Roman" w:hAnsi="Times New Roman" w:cs="Times New Roman"/>
          <w:bCs w:val="0"/>
          <w:sz w:val="22"/>
          <w:szCs w:val="22"/>
          <w:lang w:val="en-AU"/>
        </w:rPr>
      </w:pPr>
      <w:r w:rsidRPr="004D2AB8">
        <w:rPr>
          <w:rFonts w:ascii="Times New Roman" w:hAnsi="Times New Roman" w:cs="Times New Roman"/>
          <w:bCs w:val="0"/>
          <w:sz w:val="22"/>
          <w:szCs w:val="22"/>
          <w:lang w:val="en-AU"/>
        </w:rPr>
        <w:t>Introduction</w:t>
      </w:r>
    </w:p>
    <w:p w14:paraId="21820F0F" w14:textId="5EB5A736" w:rsidR="005418B2" w:rsidRPr="004D2AB8" w:rsidRDefault="00384B0A" w:rsidP="005418B2">
      <w:pPr>
        <w:jc w:val="both"/>
        <w:rPr>
          <w:sz w:val="22"/>
          <w:szCs w:val="22"/>
        </w:rPr>
      </w:pPr>
      <w:r>
        <w:rPr>
          <w:rFonts w:cs="Times"/>
          <w:sz w:val="22"/>
          <w:szCs w:val="22"/>
        </w:rPr>
        <w:t xml:space="preserve">NR-V2X </w:t>
      </w:r>
      <w:r>
        <w:rPr>
          <w:rFonts w:cs="Times" w:hint="eastAsia"/>
          <w:sz w:val="22"/>
          <w:szCs w:val="22"/>
        </w:rPr>
        <w:t>SI</w:t>
      </w:r>
      <w:r>
        <w:rPr>
          <w:rFonts w:cs="Times"/>
          <w:sz w:val="22"/>
          <w:szCs w:val="22"/>
        </w:rPr>
        <w:t xml:space="preserve"> was approved in the RAN#80 meeting </w:t>
      </w:r>
      <w:r>
        <w:rPr>
          <w:rFonts w:cs="Times"/>
          <w:sz w:val="22"/>
          <w:szCs w:val="22"/>
        </w:rPr>
        <w:fldChar w:fldCharType="begin"/>
      </w:r>
      <w:r>
        <w:rPr>
          <w:rFonts w:cs="Times"/>
          <w:sz w:val="22"/>
          <w:szCs w:val="22"/>
        </w:rPr>
        <w:instrText xml:space="preserve"> REF _Ref521069630 \r \h </w:instrText>
      </w:r>
      <w:r>
        <w:rPr>
          <w:rFonts w:cs="Times"/>
          <w:sz w:val="22"/>
          <w:szCs w:val="22"/>
        </w:rPr>
      </w:r>
      <w:r>
        <w:rPr>
          <w:rFonts w:cs="Times"/>
          <w:sz w:val="22"/>
          <w:szCs w:val="22"/>
        </w:rPr>
        <w:fldChar w:fldCharType="separate"/>
      </w:r>
      <w:r>
        <w:rPr>
          <w:rFonts w:cs="Times"/>
          <w:sz w:val="22"/>
          <w:szCs w:val="22"/>
        </w:rPr>
        <w:t>[1]</w:t>
      </w:r>
      <w:r>
        <w:rPr>
          <w:rFonts w:cs="Times"/>
          <w:sz w:val="22"/>
          <w:szCs w:val="22"/>
        </w:rPr>
        <w:fldChar w:fldCharType="end"/>
      </w:r>
      <w:r>
        <w:rPr>
          <w:rFonts w:cs="Times"/>
          <w:sz w:val="22"/>
          <w:szCs w:val="22"/>
        </w:rPr>
        <w:t>, i</w:t>
      </w:r>
      <w:r w:rsidR="005418B2" w:rsidRPr="004D2AB8">
        <w:rPr>
          <w:sz w:val="22"/>
          <w:szCs w:val="22"/>
        </w:rPr>
        <w:t>n the last RAN1 meeting, synchronization mechanism for NR sidelink was discussed with following agreement</w:t>
      </w:r>
      <w:r w:rsidR="00740B18">
        <w:rPr>
          <w:sz w:val="22"/>
          <w:szCs w:val="22"/>
        </w:rPr>
        <w:t>s and working assumption</w:t>
      </w:r>
      <w:r>
        <w:rPr>
          <w:sz w:val="22"/>
          <w:szCs w:val="22"/>
        </w:rPr>
        <w:t xml:space="preserve"> </w:t>
      </w:r>
      <w:r>
        <w:rPr>
          <w:sz w:val="22"/>
          <w:szCs w:val="22"/>
        </w:rPr>
        <w:fldChar w:fldCharType="begin"/>
      </w:r>
      <w:r>
        <w:rPr>
          <w:sz w:val="22"/>
          <w:szCs w:val="22"/>
        </w:rPr>
        <w:instrText xml:space="preserve"> REF _Ref525032988 \r \h </w:instrText>
      </w:r>
      <w:r>
        <w:rPr>
          <w:sz w:val="22"/>
          <w:szCs w:val="22"/>
        </w:rPr>
      </w:r>
      <w:r>
        <w:rPr>
          <w:sz w:val="22"/>
          <w:szCs w:val="22"/>
        </w:rPr>
        <w:fldChar w:fldCharType="separate"/>
      </w:r>
      <w:r>
        <w:rPr>
          <w:sz w:val="22"/>
          <w:szCs w:val="22"/>
        </w:rPr>
        <w:t>[2]</w:t>
      </w:r>
      <w:r>
        <w:rPr>
          <w:sz w:val="22"/>
          <w:szCs w:val="22"/>
        </w:rPr>
        <w:fldChar w:fldCharType="end"/>
      </w:r>
      <w:r w:rsidR="005418B2" w:rsidRPr="004D2AB8">
        <w:rPr>
          <w:sz w:val="22"/>
          <w:szCs w:val="22"/>
        </w:rPr>
        <w:t>:</w:t>
      </w:r>
    </w:p>
    <w:p w14:paraId="13341D38" w14:textId="77777777" w:rsidR="005418B2" w:rsidRPr="004D2AB8" w:rsidRDefault="005418B2" w:rsidP="005418B2">
      <w:pPr>
        <w:rPr>
          <w:sz w:val="22"/>
          <w:szCs w:val="22"/>
          <w:highlight w:val="green"/>
          <w:lang w:eastAsia="x-none"/>
        </w:rPr>
      </w:pPr>
    </w:p>
    <w:p w14:paraId="3B735E23" w14:textId="77777777" w:rsidR="00740B18" w:rsidRPr="001C5C25" w:rsidRDefault="00740B18" w:rsidP="00740B18">
      <w:pPr>
        <w:rPr>
          <w:sz w:val="22"/>
          <w:szCs w:val="22"/>
          <w:lang w:eastAsia="x-none"/>
        </w:rPr>
      </w:pPr>
      <w:r w:rsidRPr="001C5C25">
        <w:rPr>
          <w:sz w:val="22"/>
          <w:szCs w:val="22"/>
          <w:highlight w:val="green"/>
          <w:lang w:eastAsia="x-none"/>
        </w:rPr>
        <w:t>Agreements</w:t>
      </w:r>
      <w:r w:rsidRPr="001C5C25">
        <w:rPr>
          <w:sz w:val="22"/>
          <w:szCs w:val="22"/>
          <w:lang w:eastAsia="x-none"/>
        </w:rPr>
        <w:t>:</w:t>
      </w:r>
    </w:p>
    <w:p w14:paraId="53EF3915" w14:textId="77777777" w:rsidR="00740B18" w:rsidRPr="001C5C25" w:rsidRDefault="00740B18" w:rsidP="00740B18">
      <w:pPr>
        <w:pStyle w:val="bullet1"/>
        <w:rPr>
          <w:rFonts w:ascii="Times New Roman" w:hAnsi="Times New Roman"/>
          <w:sz w:val="22"/>
          <w:szCs w:val="22"/>
        </w:rPr>
      </w:pPr>
      <w:r w:rsidRPr="001C5C25">
        <w:rPr>
          <w:rFonts w:ascii="Times New Roman" w:hAnsi="Times New Roman"/>
          <w:sz w:val="22"/>
          <w:szCs w:val="22"/>
        </w:rPr>
        <w:t>At least GNSS, gNB, NR UE</w:t>
      </w:r>
      <w:r w:rsidRPr="001C5C25">
        <w:rPr>
          <w:rFonts w:ascii="Times New Roman" w:eastAsia="等线" w:hAnsi="Times New Roman"/>
          <w:sz w:val="22"/>
          <w:szCs w:val="22"/>
          <w:lang w:eastAsia="zh-CN"/>
        </w:rPr>
        <w:t>, and eNB are</w:t>
      </w:r>
      <w:r w:rsidRPr="001C5C25">
        <w:rPr>
          <w:rFonts w:ascii="Times New Roman" w:hAnsi="Times New Roman"/>
          <w:sz w:val="22"/>
          <w:szCs w:val="22"/>
        </w:rPr>
        <w:t xml:space="preserve"> supported as the synchronization source for NR V2X.</w:t>
      </w:r>
    </w:p>
    <w:p w14:paraId="1B6DC8B3" w14:textId="77777777" w:rsidR="00740B18" w:rsidRPr="001C5C25" w:rsidRDefault="00740B18" w:rsidP="00740B18">
      <w:pPr>
        <w:pStyle w:val="bullet2"/>
        <w:rPr>
          <w:rFonts w:ascii="Times New Roman" w:hAnsi="Times New Roman"/>
          <w:sz w:val="22"/>
          <w:szCs w:val="22"/>
        </w:rPr>
      </w:pPr>
      <w:r w:rsidRPr="001C5C25">
        <w:rPr>
          <w:rFonts w:ascii="Times New Roman" w:hAnsi="Times New Roman"/>
          <w:sz w:val="22"/>
          <w:szCs w:val="22"/>
        </w:rPr>
        <w:t xml:space="preserve">eNB as </w:t>
      </w:r>
      <w:r w:rsidRPr="001C5C25">
        <w:rPr>
          <w:rFonts w:ascii="Times New Roman" w:hAnsi="Times New Roman"/>
          <w:sz w:val="22"/>
          <w:szCs w:val="22"/>
          <w:lang w:eastAsia="zh-CN"/>
        </w:rPr>
        <w:t>a</w:t>
      </w:r>
      <w:r w:rsidRPr="001C5C25">
        <w:rPr>
          <w:rFonts w:ascii="Times New Roman" w:hAnsi="Times New Roman"/>
          <w:sz w:val="22"/>
          <w:szCs w:val="22"/>
        </w:rPr>
        <w:t xml:space="preserve"> synchronization source </w:t>
      </w:r>
      <w:r w:rsidRPr="001C5C25">
        <w:rPr>
          <w:rFonts w:ascii="Times New Roman" w:hAnsi="Times New Roman"/>
          <w:sz w:val="22"/>
          <w:szCs w:val="22"/>
          <w:lang w:eastAsia="zh-CN"/>
        </w:rPr>
        <w:t xml:space="preserve">for NR </w:t>
      </w:r>
      <w:r w:rsidRPr="001C5C25">
        <w:rPr>
          <w:rFonts w:ascii="Times New Roman" w:hAnsi="Times New Roman"/>
          <w:sz w:val="22"/>
          <w:szCs w:val="22"/>
        </w:rPr>
        <w:t>V2X UE</w:t>
      </w:r>
      <w:r w:rsidRPr="001C5C25">
        <w:rPr>
          <w:rFonts w:ascii="Times New Roman" w:hAnsi="Times New Roman"/>
          <w:sz w:val="22"/>
          <w:szCs w:val="22"/>
          <w:lang w:eastAsia="zh-CN"/>
        </w:rPr>
        <w:t>s supporting LTE Uu/PC5 or Uu only</w:t>
      </w:r>
      <w:r w:rsidRPr="001C5C25">
        <w:rPr>
          <w:rFonts w:ascii="Times New Roman" w:hAnsi="Times New Roman"/>
          <w:sz w:val="22"/>
          <w:szCs w:val="22"/>
        </w:rPr>
        <w:t xml:space="preserve"> </w:t>
      </w:r>
      <w:r w:rsidRPr="001C5C25">
        <w:rPr>
          <w:rFonts w:ascii="Times New Roman" w:hAnsi="Times New Roman"/>
          <w:sz w:val="22"/>
          <w:szCs w:val="22"/>
          <w:lang w:eastAsia="zh-CN"/>
        </w:rPr>
        <w:t>(no change to the eNB behaviour)</w:t>
      </w:r>
      <w:r w:rsidRPr="001C5C25">
        <w:rPr>
          <w:rFonts w:ascii="Times New Roman" w:hAnsi="Times New Roman"/>
          <w:sz w:val="22"/>
          <w:szCs w:val="22"/>
        </w:rPr>
        <w:t xml:space="preserve"> </w:t>
      </w:r>
    </w:p>
    <w:p w14:paraId="5DB94E59" w14:textId="77777777" w:rsidR="00740B18" w:rsidRPr="001C5C25" w:rsidRDefault="00740B18" w:rsidP="00740B18">
      <w:pPr>
        <w:pStyle w:val="bullet2"/>
        <w:rPr>
          <w:rFonts w:ascii="Times New Roman" w:hAnsi="Times New Roman"/>
          <w:sz w:val="22"/>
          <w:szCs w:val="22"/>
        </w:rPr>
      </w:pPr>
      <w:r w:rsidRPr="001C5C25">
        <w:rPr>
          <w:rFonts w:ascii="Times New Roman" w:hAnsi="Times New Roman"/>
          <w:sz w:val="22"/>
          <w:szCs w:val="22"/>
          <w:lang w:eastAsia="zh-CN"/>
        </w:rPr>
        <w:t xml:space="preserve">Whether a source is supported is for further </w:t>
      </w:r>
      <w:r w:rsidRPr="001C5C25">
        <w:rPr>
          <w:rFonts w:ascii="Times New Roman" w:eastAsia="等线" w:hAnsi="Times New Roman"/>
          <w:sz w:val="22"/>
          <w:szCs w:val="22"/>
          <w:lang w:eastAsia="zh-CN"/>
        </w:rPr>
        <w:t xml:space="preserve">NR V2X </w:t>
      </w:r>
      <w:r w:rsidRPr="001C5C25">
        <w:rPr>
          <w:rFonts w:ascii="Times New Roman" w:hAnsi="Times New Roman"/>
          <w:sz w:val="22"/>
          <w:szCs w:val="22"/>
          <w:lang w:eastAsia="zh-CN"/>
        </w:rPr>
        <w:t>UE capability consideration</w:t>
      </w:r>
    </w:p>
    <w:p w14:paraId="28FF8593" w14:textId="77777777" w:rsidR="00740B18" w:rsidRPr="001C5C25" w:rsidRDefault="00740B18" w:rsidP="00740B18">
      <w:pPr>
        <w:rPr>
          <w:sz w:val="22"/>
          <w:szCs w:val="22"/>
          <w:lang w:eastAsia="x-none"/>
        </w:rPr>
      </w:pPr>
    </w:p>
    <w:p w14:paraId="6DB418B0" w14:textId="77777777" w:rsidR="00740B18" w:rsidRPr="001C5C25" w:rsidRDefault="00740B18" w:rsidP="00740B18">
      <w:pPr>
        <w:rPr>
          <w:sz w:val="22"/>
          <w:szCs w:val="22"/>
          <w:lang w:eastAsia="x-none"/>
        </w:rPr>
      </w:pPr>
      <w:r w:rsidRPr="001C5C25">
        <w:rPr>
          <w:sz w:val="22"/>
          <w:szCs w:val="22"/>
          <w:highlight w:val="green"/>
          <w:lang w:eastAsia="x-none"/>
        </w:rPr>
        <w:t>Agreements</w:t>
      </w:r>
      <w:r w:rsidRPr="001C5C25">
        <w:rPr>
          <w:sz w:val="22"/>
          <w:szCs w:val="22"/>
          <w:lang w:eastAsia="x-none"/>
        </w:rPr>
        <w:t>:</w:t>
      </w:r>
    </w:p>
    <w:p w14:paraId="3124124C" w14:textId="77777777" w:rsidR="00740B18" w:rsidRPr="001C5C25" w:rsidRDefault="00740B18" w:rsidP="00740B18">
      <w:pPr>
        <w:pStyle w:val="bullet1"/>
        <w:rPr>
          <w:rFonts w:ascii="Times New Roman" w:hAnsi="Times New Roman"/>
          <w:sz w:val="22"/>
          <w:szCs w:val="22"/>
          <w:lang w:eastAsia="zh-CN"/>
        </w:rPr>
      </w:pPr>
      <w:r w:rsidRPr="001C5C25">
        <w:rPr>
          <w:rFonts w:ascii="Times New Roman" w:hAnsi="Times New Roman"/>
          <w:sz w:val="22"/>
          <w:szCs w:val="22"/>
          <w:lang w:eastAsia="zh-CN"/>
        </w:rPr>
        <w:t>NR V2X sidelink operation includes the following cases:</w:t>
      </w:r>
    </w:p>
    <w:p w14:paraId="4FDEB8E9" w14:textId="77777777" w:rsidR="00740B18" w:rsidRPr="001C5C25" w:rsidRDefault="00740B18" w:rsidP="00740B18">
      <w:pPr>
        <w:pStyle w:val="bullet2"/>
        <w:rPr>
          <w:rFonts w:ascii="Times New Roman" w:hAnsi="Times New Roman"/>
          <w:sz w:val="22"/>
          <w:szCs w:val="22"/>
          <w:lang w:eastAsia="zh-CN"/>
        </w:rPr>
      </w:pPr>
      <w:r w:rsidRPr="001C5C25">
        <w:rPr>
          <w:rFonts w:ascii="Times New Roman" w:hAnsi="Times New Roman"/>
          <w:sz w:val="22"/>
          <w:szCs w:val="22"/>
          <w:lang w:eastAsia="zh-CN"/>
        </w:rPr>
        <w:t>NR V2X sidelink is synchronized with LTE V2X sidelink</w:t>
      </w:r>
    </w:p>
    <w:p w14:paraId="2E68B18A" w14:textId="77777777" w:rsidR="00740B18" w:rsidRPr="001C5C25" w:rsidRDefault="00740B18" w:rsidP="00740B18">
      <w:pPr>
        <w:pStyle w:val="bullet2"/>
        <w:rPr>
          <w:rFonts w:ascii="Times New Roman" w:hAnsi="Times New Roman"/>
          <w:sz w:val="22"/>
          <w:szCs w:val="22"/>
          <w:lang w:eastAsia="zh-CN"/>
        </w:rPr>
      </w:pPr>
      <w:r w:rsidRPr="001C5C25">
        <w:rPr>
          <w:rFonts w:ascii="Times New Roman" w:hAnsi="Times New Roman"/>
          <w:sz w:val="22"/>
          <w:szCs w:val="22"/>
          <w:lang w:eastAsia="zh-CN"/>
        </w:rPr>
        <w:t>NR V2X sidelink synchronization procedure operates independently to the LTE V2X sidelink synchronization procedure</w:t>
      </w:r>
    </w:p>
    <w:p w14:paraId="016FCE62" w14:textId="77777777" w:rsidR="00740B18" w:rsidRPr="001C5C25" w:rsidRDefault="00740B18" w:rsidP="00740B18">
      <w:pPr>
        <w:rPr>
          <w:sz w:val="22"/>
          <w:szCs w:val="22"/>
          <w:lang w:eastAsia="x-none"/>
        </w:rPr>
      </w:pPr>
    </w:p>
    <w:p w14:paraId="61713300" w14:textId="77777777" w:rsidR="00740B18" w:rsidRPr="001C5C25" w:rsidRDefault="00740B18" w:rsidP="00740B18">
      <w:pPr>
        <w:rPr>
          <w:sz w:val="22"/>
          <w:szCs w:val="22"/>
          <w:highlight w:val="darkYellow"/>
          <w:lang w:eastAsia="x-none"/>
        </w:rPr>
      </w:pPr>
      <w:r w:rsidRPr="001C5C25">
        <w:rPr>
          <w:sz w:val="22"/>
          <w:szCs w:val="22"/>
          <w:highlight w:val="darkYellow"/>
          <w:lang w:eastAsia="x-none"/>
        </w:rPr>
        <w:t>Working assumption:</w:t>
      </w:r>
    </w:p>
    <w:p w14:paraId="4EBE6615" w14:textId="77777777" w:rsidR="00740B18" w:rsidRPr="001C5C25" w:rsidRDefault="00740B18" w:rsidP="00740B18">
      <w:pPr>
        <w:numPr>
          <w:ilvl w:val="0"/>
          <w:numId w:val="9"/>
        </w:numPr>
        <w:rPr>
          <w:sz w:val="22"/>
          <w:szCs w:val="22"/>
        </w:rPr>
      </w:pPr>
      <w:r w:rsidRPr="001C5C25">
        <w:rPr>
          <w:sz w:val="22"/>
          <w:szCs w:val="22"/>
        </w:rPr>
        <w:t xml:space="preserve">For the purpose of evaluation, the initial frequency error should be within </w:t>
      </w:r>
      <w:proofErr w:type="gramStart"/>
      <w:r w:rsidRPr="001C5C25">
        <w:rPr>
          <w:sz w:val="22"/>
          <w:szCs w:val="22"/>
        </w:rPr>
        <w:t>±[</w:t>
      </w:r>
      <w:proofErr w:type="gramEnd"/>
      <w:r w:rsidRPr="001C5C25">
        <w:rPr>
          <w:sz w:val="22"/>
          <w:szCs w:val="22"/>
        </w:rPr>
        <w:t>5] ppm with the assumption of uniform distribution [-5, 5] for NR V2X sidelink synchronization.</w:t>
      </w:r>
    </w:p>
    <w:p w14:paraId="795F20B9" w14:textId="77777777" w:rsidR="00740B18" w:rsidRPr="001C5C25" w:rsidRDefault="00740B18" w:rsidP="00740B18">
      <w:pPr>
        <w:numPr>
          <w:ilvl w:val="1"/>
          <w:numId w:val="9"/>
        </w:numPr>
        <w:rPr>
          <w:sz w:val="22"/>
          <w:szCs w:val="22"/>
        </w:rPr>
      </w:pPr>
      <w:r w:rsidRPr="001C5C25">
        <w:rPr>
          <w:sz w:val="22"/>
          <w:szCs w:val="22"/>
        </w:rPr>
        <w:t xml:space="preserve">Note: This is the error of the local oscillator for the </w:t>
      </w:r>
      <w:proofErr w:type="spellStart"/>
      <w:proofErr w:type="gramStart"/>
      <w:r w:rsidRPr="001C5C25">
        <w:rPr>
          <w:sz w:val="22"/>
          <w:szCs w:val="22"/>
        </w:rPr>
        <w:t>Tx</w:t>
      </w:r>
      <w:proofErr w:type="spellEnd"/>
      <w:proofErr w:type="gramEnd"/>
      <w:r w:rsidRPr="001C5C25">
        <w:rPr>
          <w:sz w:val="22"/>
          <w:szCs w:val="22"/>
        </w:rPr>
        <w:t xml:space="preserve"> and Rx with respect to the absolute carrier frequency.</w:t>
      </w:r>
    </w:p>
    <w:p w14:paraId="51774507" w14:textId="77777777" w:rsidR="00740B18" w:rsidRPr="001C5C25" w:rsidRDefault="00740B18" w:rsidP="00740B18">
      <w:pPr>
        <w:rPr>
          <w:b/>
          <w:sz w:val="22"/>
          <w:szCs w:val="22"/>
          <w:lang w:eastAsia="x-none"/>
        </w:rPr>
      </w:pPr>
    </w:p>
    <w:p w14:paraId="67A00611" w14:textId="77777777" w:rsidR="00740B18" w:rsidRPr="001C5C25" w:rsidRDefault="00740B18" w:rsidP="00740B18">
      <w:pPr>
        <w:rPr>
          <w:b/>
          <w:sz w:val="22"/>
          <w:szCs w:val="22"/>
          <w:lang w:eastAsia="x-none"/>
        </w:rPr>
      </w:pPr>
      <w:r w:rsidRPr="001C5C25">
        <w:rPr>
          <w:sz w:val="22"/>
          <w:szCs w:val="22"/>
          <w:highlight w:val="green"/>
          <w:lang w:eastAsia="x-none"/>
        </w:rPr>
        <w:t>Agreements</w:t>
      </w:r>
      <w:r w:rsidRPr="001C5C25">
        <w:rPr>
          <w:b/>
          <w:sz w:val="22"/>
          <w:szCs w:val="22"/>
          <w:lang w:eastAsia="x-none"/>
        </w:rPr>
        <w:t>:</w:t>
      </w:r>
    </w:p>
    <w:p w14:paraId="0115A2EE" w14:textId="77777777" w:rsidR="00740B18" w:rsidRPr="001C5C25" w:rsidRDefault="00740B18" w:rsidP="00740B18">
      <w:pPr>
        <w:pStyle w:val="af4"/>
        <w:numPr>
          <w:ilvl w:val="0"/>
          <w:numId w:val="9"/>
        </w:numPr>
        <w:rPr>
          <w:rFonts w:ascii="Times New Roman" w:hAnsi="Times New Roman"/>
          <w:sz w:val="22"/>
          <w:szCs w:val="22"/>
        </w:rPr>
      </w:pPr>
      <w:r w:rsidRPr="001C5C25">
        <w:rPr>
          <w:rFonts w:ascii="Times New Roman" w:hAnsi="Times New Roman"/>
          <w:sz w:val="22"/>
          <w:szCs w:val="22"/>
        </w:rPr>
        <w:t>The design of NR V2X sidelink synchronization signals and PSBCH uses NR SSB structure as the starting point with the following properties,</w:t>
      </w:r>
    </w:p>
    <w:p w14:paraId="36183564" w14:textId="77777777" w:rsidR="00740B18" w:rsidRPr="001C5C25" w:rsidRDefault="00740B18" w:rsidP="00740B18">
      <w:pPr>
        <w:pStyle w:val="af4"/>
        <w:numPr>
          <w:ilvl w:val="1"/>
          <w:numId w:val="9"/>
        </w:numPr>
        <w:rPr>
          <w:rFonts w:ascii="Times New Roman" w:hAnsi="Times New Roman"/>
          <w:sz w:val="22"/>
          <w:szCs w:val="22"/>
        </w:rPr>
      </w:pPr>
      <w:r w:rsidRPr="001C5C25">
        <w:rPr>
          <w:rFonts w:ascii="Times New Roman" w:hAnsi="Times New Roman"/>
          <w:sz w:val="22"/>
          <w:szCs w:val="22"/>
        </w:rPr>
        <w:t>NR V2X synchronization signals include sidelink PSS (S-PSS) and sidelink SSS (S-SSS) and are structured with PSBCH in a block format (S-SSB)</w:t>
      </w:r>
    </w:p>
    <w:p w14:paraId="59C50842" w14:textId="77777777" w:rsidR="00740B18" w:rsidRPr="001C5C25" w:rsidRDefault="00740B18" w:rsidP="00740B18">
      <w:pPr>
        <w:pStyle w:val="af4"/>
        <w:rPr>
          <w:rFonts w:ascii="Times New Roman" w:hAnsi="Times New Roman"/>
          <w:sz w:val="22"/>
          <w:szCs w:val="22"/>
        </w:rPr>
      </w:pPr>
    </w:p>
    <w:p w14:paraId="76DAA37D" w14:textId="77777777" w:rsidR="00740B18" w:rsidRPr="001C5C25" w:rsidRDefault="00740B18" w:rsidP="00740B18">
      <w:pPr>
        <w:pStyle w:val="af4"/>
        <w:rPr>
          <w:rFonts w:ascii="Times New Roman" w:hAnsi="Times New Roman"/>
          <w:sz w:val="22"/>
          <w:szCs w:val="22"/>
        </w:rPr>
      </w:pPr>
      <w:r w:rsidRPr="001C5C25">
        <w:rPr>
          <w:rFonts w:ascii="Times New Roman" w:hAnsi="Times New Roman"/>
          <w:sz w:val="22"/>
          <w:szCs w:val="22"/>
          <w:highlight w:val="green"/>
        </w:rPr>
        <w:t>Agreements</w:t>
      </w:r>
      <w:r w:rsidRPr="001C5C25">
        <w:rPr>
          <w:rFonts w:ascii="Times New Roman" w:hAnsi="Times New Roman"/>
          <w:sz w:val="22"/>
          <w:szCs w:val="22"/>
        </w:rPr>
        <w:t>:</w:t>
      </w:r>
    </w:p>
    <w:p w14:paraId="3CBEF89B" w14:textId="77777777" w:rsidR="00740B18" w:rsidRPr="001C5C25" w:rsidRDefault="00740B18" w:rsidP="00740B18">
      <w:pPr>
        <w:numPr>
          <w:ilvl w:val="0"/>
          <w:numId w:val="9"/>
        </w:numPr>
        <w:rPr>
          <w:sz w:val="22"/>
          <w:szCs w:val="22"/>
        </w:rPr>
      </w:pPr>
      <w:r w:rsidRPr="001C5C25">
        <w:rPr>
          <w:sz w:val="22"/>
          <w:szCs w:val="22"/>
        </w:rPr>
        <w:t>Periodic transmission of S-SSB in NR V2X  is supported</w:t>
      </w:r>
    </w:p>
    <w:p w14:paraId="02A4C41A" w14:textId="11F1E0A2" w:rsidR="005418B2" w:rsidRPr="001C5C25" w:rsidRDefault="00740B18" w:rsidP="00740B18">
      <w:pPr>
        <w:jc w:val="both"/>
        <w:rPr>
          <w:sz w:val="22"/>
          <w:szCs w:val="22"/>
        </w:rPr>
      </w:pPr>
      <w:r w:rsidRPr="001C5C25">
        <w:rPr>
          <w:sz w:val="22"/>
          <w:szCs w:val="22"/>
        </w:rPr>
        <w:t>FFS:  whether one/more S-SSB is transmitted in a period</w:t>
      </w:r>
    </w:p>
    <w:p w14:paraId="07435922" w14:textId="77777777" w:rsidR="00740B18" w:rsidRPr="004D2AB8" w:rsidRDefault="00740B18" w:rsidP="00740B18">
      <w:pPr>
        <w:jc w:val="both"/>
        <w:rPr>
          <w:sz w:val="22"/>
          <w:szCs w:val="22"/>
        </w:rPr>
      </w:pPr>
    </w:p>
    <w:p w14:paraId="29E065B8" w14:textId="5F8723FB" w:rsidR="005418B2" w:rsidRPr="004D2AB8" w:rsidRDefault="00A04223" w:rsidP="00012620">
      <w:pPr>
        <w:jc w:val="both"/>
        <w:rPr>
          <w:sz w:val="22"/>
          <w:szCs w:val="22"/>
        </w:rPr>
      </w:pPr>
      <w:r w:rsidRPr="004D2AB8">
        <w:rPr>
          <w:sz w:val="22"/>
          <w:szCs w:val="22"/>
        </w:rPr>
        <w:t xml:space="preserve">In </w:t>
      </w:r>
      <w:r w:rsidR="00740B18" w:rsidRPr="004D2AB8">
        <w:rPr>
          <w:sz w:val="22"/>
          <w:szCs w:val="22"/>
        </w:rPr>
        <w:t>this contribution</w:t>
      </w:r>
      <w:r w:rsidRPr="004D2AB8">
        <w:rPr>
          <w:sz w:val="22"/>
          <w:szCs w:val="22"/>
        </w:rPr>
        <w:t>, we will discuss the issues that need to be considered for support of synchronization in</w:t>
      </w:r>
      <w:r w:rsidR="004513F2" w:rsidRPr="004D2AB8">
        <w:rPr>
          <w:sz w:val="22"/>
          <w:szCs w:val="22"/>
        </w:rPr>
        <w:t xml:space="preserve"> NR-V2X</w:t>
      </w:r>
      <w:r w:rsidRPr="004D2AB8">
        <w:rPr>
          <w:sz w:val="22"/>
          <w:szCs w:val="22"/>
        </w:rPr>
        <w:t>.</w:t>
      </w:r>
    </w:p>
    <w:p w14:paraId="6E67036A" w14:textId="77777777" w:rsidR="00BE062D" w:rsidRPr="004D2AB8" w:rsidRDefault="00BE062D" w:rsidP="00012620">
      <w:pPr>
        <w:jc w:val="both"/>
        <w:rPr>
          <w:sz w:val="22"/>
          <w:szCs w:val="22"/>
        </w:rPr>
      </w:pPr>
    </w:p>
    <w:p w14:paraId="13A68B12" w14:textId="77777777" w:rsidR="00012620" w:rsidRPr="004D2AB8" w:rsidRDefault="00012620" w:rsidP="00012620">
      <w:pPr>
        <w:pStyle w:val="1"/>
        <w:spacing w:before="0"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Discussion</w:t>
      </w:r>
    </w:p>
    <w:p w14:paraId="675FFBC1" w14:textId="6CA0622B" w:rsidR="00701384" w:rsidRPr="004D2AB8" w:rsidRDefault="00701384" w:rsidP="005D0863">
      <w:pPr>
        <w:spacing w:before="240" w:after="120"/>
        <w:jc w:val="both"/>
        <w:rPr>
          <w:b/>
          <w:sz w:val="22"/>
          <w:szCs w:val="22"/>
          <w:u w:val="single"/>
        </w:rPr>
      </w:pPr>
      <w:r w:rsidRPr="004D2AB8">
        <w:rPr>
          <w:b/>
          <w:sz w:val="22"/>
          <w:szCs w:val="22"/>
          <w:u w:val="single"/>
        </w:rPr>
        <w:t>Synchronization Sources</w:t>
      </w:r>
    </w:p>
    <w:p w14:paraId="615BEC92" w14:textId="3780B377" w:rsidR="009D15D8" w:rsidRPr="004D2AB8" w:rsidRDefault="00701384" w:rsidP="009D15D8">
      <w:pPr>
        <w:jc w:val="both"/>
        <w:rPr>
          <w:sz w:val="22"/>
          <w:szCs w:val="22"/>
        </w:rPr>
      </w:pPr>
      <w:r w:rsidRPr="004D2AB8">
        <w:rPr>
          <w:sz w:val="22"/>
          <w:szCs w:val="22"/>
        </w:rPr>
        <w:t>In Rel-14 LTE V2X</w:t>
      </w:r>
      <w:r w:rsidR="003F5E89">
        <w:rPr>
          <w:sz w:val="22"/>
          <w:szCs w:val="22"/>
        </w:rPr>
        <w:t>,</w:t>
      </w:r>
      <w:r w:rsidRPr="004D2AB8">
        <w:rPr>
          <w:sz w:val="22"/>
          <w:szCs w:val="22"/>
        </w:rPr>
        <w:t xml:space="preserve"> UE can achieve time and frequency synchronization based on GNSS, eNB or a UE that transmitting SLSS and PSBCH, where the eNB can be on the same carrier as the sidelink </w:t>
      </w:r>
      <w:r w:rsidRPr="004D2AB8">
        <w:rPr>
          <w:sz w:val="22"/>
          <w:szCs w:val="22"/>
        </w:rPr>
        <w:lastRenderedPageBreak/>
        <w:t xml:space="preserve">operation or on a different carrier. </w:t>
      </w:r>
      <w:r w:rsidR="009D15D8" w:rsidRPr="004D2AB8">
        <w:rPr>
          <w:sz w:val="22"/>
          <w:szCs w:val="22"/>
        </w:rPr>
        <w:t>In Rel-15 sidelink carrier aggregation, UE can use sync reference on one c</w:t>
      </w:r>
      <w:r w:rsidR="003F5E89">
        <w:rPr>
          <w:sz w:val="22"/>
          <w:szCs w:val="22"/>
        </w:rPr>
        <w:t>arrier for all other aggregated</w:t>
      </w:r>
      <w:r w:rsidR="009D15D8" w:rsidRPr="004D2AB8">
        <w:rPr>
          <w:sz w:val="22"/>
          <w:szCs w:val="22"/>
        </w:rPr>
        <w:t xml:space="preserve"> sidelink carriers, and UE can transmit SLSS/PSBCH on only one carrier or multiple carriers depending on UE capability. In general, sync source should be able to provide time-frequency reference, and also the configurations of the sidelink carrier, e.g. bandwidth, TDD configurations, etc. for other UEs.</w:t>
      </w:r>
    </w:p>
    <w:p w14:paraId="1D66ACB1" w14:textId="2D249626" w:rsidR="003336E5" w:rsidRPr="004D2AB8" w:rsidRDefault="003336E5" w:rsidP="009454DD">
      <w:pPr>
        <w:jc w:val="both"/>
        <w:rPr>
          <w:sz w:val="22"/>
          <w:szCs w:val="22"/>
        </w:rPr>
      </w:pPr>
    </w:p>
    <w:p w14:paraId="2336DB74" w14:textId="62AAAE28" w:rsidR="00701384" w:rsidRPr="004D2AB8" w:rsidRDefault="00701384" w:rsidP="009454DD">
      <w:pPr>
        <w:jc w:val="both"/>
        <w:rPr>
          <w:sz w:val="22"/>
          <w:szCs w:val="22"/>
        </w:rPr>
      </w:pPr>
      <w:r w:rsidRPr="004D2AB8">
        <w:rPr>
          <w:sz w:val="22"/>
          <w:szCs w:val="22"/>
        </w:rPr>
        <w:t xml:space="preserve">In NR V2X, </w:t>
      </w:r>
      <w:r w:rsidR="009D15D8" w:rsidRPr="004D2AB8">
        <w:rPr>
          <w:sz w:val="22"/>
          <w:szCs w:val="22"/>
        </w:rPr>
        <w:t xml:space="preserve">as agreed in the last meeting, </w:t>
      </w:r>
      <w:r w:rsidR="00BE14B8">
        <w:rPr>
          <w:sz w:val="22"/>
          <w:szCs w:val="22"/>
        </w:rPr>
        <w:t xml:space="preserve">at least </w:t>
      </w:r>
      <w:r w:rsidR="009D15D8" w:rsidRPr="004D2AB8">
        <w:rPr>
          <w:sz w:val="22"/>
          <w:szCs w:val="22"/>
        </w:rPr>
        <w:t xml:space="preserve">GNSS, gNB, eNB, </w:t>
      </w:r>
      <w:r w:rsidR="00BE14B8">
        <w:rPr>
          <w:rFonts w:hint="eastAsia"/>
          <w:sz w:val="22"/>
          <w:szCs w:val="22"/>
        </w:rPr>
        <w:t>and</w:t>
      </w:r>
      <w:r w:rsidR="00BE14B8">
        <w:rPr>
          <w:sz w:val="22"/>
          <w:szCs w:val="22"/>
        </w:rPr>
        <w:t xml:space="preserve"> NR </w:t>
      </w:r>
      <w:r w:rsidR="009D15D8" w:rsidRPr="004D2AB8">
        <w:rPr>
          <w:sz w:val="22"/>
          <w:szCs w:val="22"/>
        </w:rPr>
        <w:t xml:space="preserve">UE can be used as sync reference. </w:t>
      </w:r>
      <w:r w:rsidR="00BE14B8">
        <w:rPr>
          <w:sz w:val="22"/>
          <w:szCs w:val="22"/>
        </w:rPr>
        <w:t xml:space="preserve">As </w:t>
      </w:r>
      <w:r w:rsidR="006B6F7B" w:rsidRPr="004D2AB8">
        <w:rPr>
          <w:sz w:val="22"/>
          <w:szCs w:val="22"/>
        </w:rPr>
        <w:t xml:space="preserve">NR UE may have LTE V2X and NR V2X simultaneously, </w:t>
      </w:r>
      <w:r w:rsidR="00131E2B">
        <w:rPr>
          <w:rFonts w:hint="eastAsia"/>
          <w:sz w:val="22"/>
          <w:szCs w:val="22"/>
        </w:rPr>
        <w:t>and</w:t>
      </w:r>
      <w:r w:rsidR="00131E2B">
        <w:rPr>
          <w:sz w:val="22"/>
          <w:szCs w:val="22"/>
        </w:rPr>
        <w:t xml:space="preserve"> </w:t>
      </w:r>
      <w:r w:rsidR="00131E2B" w:rsidRPr="00131E2B">
        <w:rPr>
          <w:sz w:val="22"/>
          <w:szCs w:val="22"/>
        </w:rPr>
        <w:t xml:space="preserve">NR V2X sidelink </w:t>
      </w:r>
      <w:r w:rsidR="00131E2B">
        <w:rPr>
          <w:sz w:val="22"/>
          <w:szCs w:val="22"/>
        </w:rPr>
        <w:t>can be</w:t>
      </w:r>
      <w:r w:rsidR="00131E2B" w:rsidRPr="00131E2B">
        <w:rPr>
          <w:sz w:val="22"/>
          <w:szCs w:val="22"/>
        </w:rPr>
        <w:t xml:space="preserve"> synchronized with LTE V2X sidelink</w:t>
      </w:r>
      <w:r w:rsidR="00131E2B">
        <w:rPr>
          <w:sz w:val="22"/>
          <w:szCs w:val="22"/>
        </w:rPr>
        <w:t>, in this case, as discussed below, it is beneficial that the NR UE only transmit LTE SLSS/PSBCH</w:t>
      </w:r>
      <w:r w:rsidR="006A1FD1">
        <w:rPr>
          <w:sz w:val="22"/>
          <w:szCs w:val="22"/>
        </w:rPr>
        <w:t xml:space="preserve"> if the LTE PSBCH suffice to convey some necessary configuration information of NR sidelink carrier (e.g. </w:t>
      </w:r>
      <w:r w:rsidR="0057612F">
        <w:rPr>
          <w:sz w:val="22"/>
          <w:szCs w:val="22"/>
        </w:rPr>
        <w:t xml:space="preserve">BW, </w:t>
      </w:r>
      <w:r w:rsidR="006A1FD1">
        <w:rPr>
          <w:sz w:val="22"/>
          <w:szCs w:val="22"/>
        </w:rPr>
        <w:t>SCS</w:t>
      </w:r>
      <w:r w:rsidR="0057612F">
        <w:rPr>
          <w:sz w:val="22"/>
          <w:szCs w:val="22"/>
        </w:rPr>
        <w:t>, etc.</w:t>
      </w:r>
      <w:r w:rsidR="006A1FD1">
        <w:rPr>
          <w:sz w:val="22"/>
          <w:szCs w:val="22"/>
        </w:rPr>
        <w:t>)</w:t>
      </w:r>
      <w:r w:rsidR="00131E2B">
        <w:rPr>
          <w:sz w:val="22"/>
          <w:szCs w:val="22"/>
        </w:rPr>
        <w:t xml:space="preserve">. </w:t>
      </w:r>
      <w:r w:rsidR="00FE3870">
        <w:rPr>
          <w:sz w:val="22"/>
          <w:szCs w:val="22"/>
        </w:rPr>
        <w:t xml:space="preserve">From this point of view, a NR UE should be able to use LTE SLSSS/PSBCH transmitted by another </w:t>
      </w:r>
      <w:r w:rsidR="00FE3870" w:rsidRPr="00A9468B">
        <w:rPr>
          <w:b/>
          <w:sz w:val="22"/>
          <w:szCs w:val="22"/>
        </w:rPr>
        <w:t>NR</w:t>
      </w:r>
      <w:r w:rsidR="00FE3870">
        <w:rPr>
          <w:sz w:val="22"/>
          <w:szCs w:val="22"/>
        </w:rPr>
        <w:t xml:space="preserve"> UE as a sync source</w:t>
      </w:r>
      <w:r w:rsidR="00705A3A" w:rsidRPr="004D2AB8">
        <w:rPr>
          <w:sz w:val="22"/>
          <w:szCs w:val="22"/>
        </w:rPr>
        <w:t xml:space="preserve">. </w:t>
      </w:r>
      <w:r w:rsidR="00F026EC">
        <w:rPr>
          <w:sz w:val="22"/>
          <w:szCs w:val="22"/>
        </w:rPr>
        <w:t xml:space="preserve">Since SLSS/PSBCH transmitted by </w:t>
      </w:r>
      <w:r w:rsidR="00705A3A" w:rsidRPr="004D2AB8">
        <w:rPr>
          <w:sz w:val="22"/>
          <w:szCs w:val="22"/>
        </w:rPr>
        <w:t xml:space="preserve">LTE UE cannot be changed, especially </w:t>
      </w:r>
      <w:r w:rsidR="00F026EC">
        <w:rPr>
          <w:sz w:val="22"/>
          <w:szCs w:val="22"/>
        </w:rPr>
        <w:t xml:space="preserve">a NR </w:t>
      </w:r>
      <w:r w:rsidR="00705A3A" w:rsidRPr="004D2AB8">
        <w:rPr>
          <w:sz w:val="22"/>
          <w:szCs w:val="22"/>
        </w:rPr>
        <w:t xml:space="preserve">UE </w:t>
      </w:r>
      <w:r w:rsidR="006A1FD1">
        <w:rPr>
          <w:sz w:val="22"/>
          <w:szCs w:val="22"/>
        </w:rPr>
        <w:t>cannot</w:t>
      </w:r>
      <w:r w:rsidR="00705A3A" w:rsidRPr="004D2AB8">
        <w:rPr>
          <w:sz w:val="22"/>
          <w:szCs w:val="22"/>
        </w:rPr>
        <w:t xml:space="preserve"> obtain </w:t>
      </w:r>
      <w:r w:rsidR="006A1FD1">
        <w:rPr>
          <w:rFonts w:hint="eastAsia"/>
          <w:sz w:val="22"/>
          <w:szCs w:val="22"/>
        </w:rPr>
        <w:t>some</w:t>
      </w:r>
      <w:r w:rsidR="006A1FD1">
        <w:rPr>
          <w:sz w:val="22"/>
          <w:szCs w:val="22"/>
        </w:rPr>
        <w:t xml:space="preserve"> </w:t>
      </w:r>
      <w:r w:rsidR="00705A3A" w:rsidRPr="004D2AB8">
        <w:rPr>
          <w:sz w:val="22"/>
          <w:szCs w:val="22"/>
        </w:rPr>
        <w:t xml:space="preserve">configuration </w:t>
      </w:r>
      <w:r w:rsidR="006A1FD1">
        <w:rPr>
          <w:sz w:val="22"/>
          <w:szCs w:val="22"/>
        </w:rPr>
        <w:t xml:space="preserve">information that may be needed for NR sidelink operation </w:t>
      </w:r>
      <w:r w:rsidR="00705A3A" w:rsidRPr="004D2AB8">
        <w:rPr>
          <w:sz w:val="22"/>
          <w:szCs w:val="22"/>
        </w:rPr>
        <w:t>from SLSS/PSBCH transmitted</w:t>
      </w:r>
      <w:r w:rsidR="00F026EC">
        <w:rPr>
          <w:sz w:val="22"/>
          <w:szCs w:val="22"/>
        </w:rPr>
        <w:t xml:space="preserve"> by LTE UE, therefore </w:t>
      </w:r>
      <w:r w:rsidR="005F61D9">
        <w:rPr>
          <w:sz w:val="22"/>
          <w:szCs w:val="22"/>
        </w:rPr>
        <w:t xml:space="preserve">if </w:t>
      </w:r>
      <w:r w:rsidR="00F026EC">
        <w:rPr>
          <w:sz w:val="22"/>
          <w:szCs w:val="22"/>
        </w:rPr>
        <w:t>LTE UE can</w:t>
      </w:r>
      <w:r w:rsidR="00705A3A" w:rsidRPr="004D2AB8">
        <w:rPr>
          <w:sz w:val="22"/>
          <w:szCs w:val="22"/>
        </w:rPr>
        <w:t>not be used as sync source</w:t>
      </w:r>
      <w:r w:rsidR="005F61D9">
        <w:rPr>
          <w:sz w:val="22"/>
          <w:szCs w:val="22"/>
        </w:rPr>
        <w:t xml:space="preserve"> should be FFS</w:t>
      </w:r>
      <w:r w:rsidR="00705A3A" w:rsidRPr="004D2AB8">
        <w:rPr>
          <w:sz w:val="22"/>
          <w:szCs w:val="22"/>
        </w:rPr>
        <w:t>.</w:t>
      </w:r>
    </w:p>
    <w:p w14:paraId="6DCF4678" w14:textId="6731BA94" w:rsidR="00602684" w:rsidRPr="004D2AB8" w:rsidRDefault="00602684" w:rsidP="009454DD">
      <w:pPr>
        <w:jc w:val="both"/>
        <w:rPr>
          <w:sz w:val="22"/>
          <w:szCs w:val="22"/>
        </w:rPr>
      </w:pPr>
    </w:p>
    <w:p w14:paraId="09F2B7EA" w14:textId="77777777" w:rsidR="00705A3A" w:rsidRPr="004D2AB8" w:rsidRDefault="00602684" w:rsidP="004D2AB8">
      <w:pPr>
        <w:spacing w:after="120"/>
        <w:jc w:val="both"/>
        <w:rPr>
          <w:b/>
          <w:i/>
          <w:sz w:val="22"/>
          <w:szCs w:val="22"/>
        </w:rPr>
      </w:pPr>
      <w:r w:rsidRPr="004D2AB8">
        <w:rPr>
          <w:b/>
          <w:i/>
          <w:sz w:val="22"/>
          <w:szCs w:val="22"/>
        </w:rPr>
        <w:t xml:space="preserve">Proposal </w:t>
      </w:r>
      <w:r w:rsidR="00705A3A" w:rsidRPr="004D2AB8">
        <w:rPr>
          <w:b/>
          <w:i/>
          <w:sz w:val="22"/>
          <w:szCs w:val="22"/>
        </w:rPr>
        <w:t>1</w:t>
      </w:r>
      <w:r w:rsidRPr="004D2AB8">
        <w:rPr>
          <w:b/>
          <w:i/>
          <w:sz w:val="22"/>
          <w:szCs w:val="22"/>
        </w:rPr>
        <w:t xml:space="preserve">: </w:t>
      </w:r>
    </w:p>
    <w:p w14:paraId="748C37EA" w14:textId="2EDD7461" w:rsidR="00A861DA" w:rsidRDefault="00D52A75" w:rsidP="001D41AF">
      <w:pPr>
        <w:pStyle w:val="a5"/>
        <w:numPr>
          <w:ilvl w:val="0"/>
          <w:numId w:val="4"/>
        </w:numPr>
        <w:jc w:val="both"/>
        <w:rPr>
          <w:rFonts w:ascii="Times New Roman" w:hAnsi="Times New Roman"/>
          <w:b/>
          <w:i/>
        </w:rPr>
      </w:pPr>
      <w:r>
        <w:rPr>
          <w:rFonts w:ascii="Times New Roman" w:hAnsi="Times New Roman"/>
          <w:b/>
          <w:i/>
        </w:rPr>
        <w:t xml:space="preserve">NR UE transmitting LTE SLSS/PSBCH </w:t>
      </w:r>
      <w:r w:rsidR="00626378">
        <w:rPr>
          <w:rFonts w:ascii="Times New Roman" w:hAnsi="Times New Roman"/>
          <w:b/>
          <w:i/>
        </w:rPr>
        <w:t>should be used as</w:t>
      </w:r>
      <w:r>
        <w:rPr>
          <w:rFonts w:ascii="Times New Roman" w:hAnsi="Times New Roman"/>
          <w:b/>
          <w:i/>
        </w:rPr>
        <w:t xml:space="preserve"> sync source for NR sidelink;</w:t>
      </w:r>
    </w:p>
    <w:p w14:paraId="5C40C0CB" w14:textId="3A1FE475" w:rsidR="000C2129" w:rsidRPr="004D2AB8" w:rsidRDefault="00A861DA" w:rsidP="001D41AF">
      <w:pPr>
        <w:pStyle w:val="a5"/>
        <w:numPr>
          <w:ilvl w:val="0"/>
          <w:numId w:val="4"/>
        </w:numPr>
        <w:jc w:val="both"/>
        <w:rPr>
          <w:rFonts w:ascii="Times New Roman" w:hAnsi="Times New Roman"/>
          <w:b/>
          <w:i/>
        </w:rPr>
      </w:pPr>
      <w:r>
        <w:rPr>
          <w:rFonts w:ascii="Times New Roman" w:hAnsi="Times New Roman"/>
          <w:b/>
          <w:i/>
        </w:rPr>
        <w:t>FFS if LTE UE can be used as sync source for NR sidelink;</w:t>
      </w:r>
    </w:p>
    <w:p w14:paraId="6668B0C7" w14:textId="6FCD4EA6" w:rsidR="000C2129" w:rsidRPr="004D2AB8" w:rsidRDefault="000C2129" w:rsidP="005D0863">
      <w:pPr>
        <w:spacing w:before="240" w:after="120"/>
        <w:jc w:val="both"/>
        <w:rPr>
          <w:b/>
          <w:sz w:val="22"/>
          <w:szCs w:val="22"/>
          <w:u w:val="single"/>
        </w:rPr>
      </w:pPr>
      <w:r w:rsidRPr="004D2AB8">
        <w:rPr>
          <w:b/>
          <w:sz w:val="22"/>
          <w:szCs w:val="22"/>
          <w:u w:val="single"/>
        </w:rPr>
        <w:t>Synchronization S</w:t>
      </w:r>
      <w:r w:rsidR="005D0863" w:rsidRPr="004D2AB8">
        <w:rPr>
          <w:b/>
          <w:sz w:val="22"/>
          <w:szCs w:val="22"/>
          <w:u w:val="single"/>
        </w:rPr>
        <w:t>ource</w:t>
      </w:r>
      <w:r w:rsidRPr="004D2AB8">
        <w:rPr>
          <w:b/>
          <w:sz w:val="22"/>
          <w:szCs w:val="22"/>
          <w:u w:val="single"/>
        </w:rPr>
        <w:t xml:space="preserve"> Selection</w:t>
      </w:r>
    </w:p>
    <w:p w14:paraId="307277F2" w14:textId="3376D8CB" w:rsidR="000F6EB9" w:rsidRPr="004D2AB8" w:rsidRDefault="000C2129" w:rsidP="009454DD">
      <w:pPr>
        <w:jc w:val="both"/>
        <w:rPr>
          <w:sz w:val="22"/>
          <w:szCs w:val="22"/>
        </w:rPr>
      </w:pPr>
      <w:r w:rsidRPr="004D2AB8">
        <w:rPr>
          <w:sz w:val="22"/>
          <w:szCs w:val="22"/>
        </w:rPr>
        <w:t>In LTE V2X, a very comprehensive sync source selection behavior was specified</w:t>
      </w:r>
      <w:r w:rsidR="000F6EB9" w:rsidRPr="004D2AB8">
        <w:rPr>
          <w:sz w:val="22"/>
          <w:szCs w:val="22"/>
        </w:rPr>
        <w:t xml:space="preserve"> based on following </w:t>
      </w:r>
      <w:r w:rsidR="00090261" w:rsidRPr="004D2AB8">
        <w:rPr>
          <w:sz w:val="22"/>
          <w:szCs w:val="22"/>
        </w:rPr>
        <w:t xml:space="preserve">general </w:t>
      </w:r>
      <w:r w:rsidR="000F6EB9" w:rsidRPr="004D2AB8">
        <w:rPr>
          <w:sz w:val="22"/>
          <w:szCs w:val="22"/>
        </w:rPr>
        <w:t>principles:</w:t>
      </w:r>
    </w:p>
    <w:p w14:paraId="6683F44B" w14:textId="19A986BE"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provide common time/frequency reference;</w:t>
      </w:r>
    </w:p>
    <w:p w14:paraId="17A2E391" w14:textId="1B7612B8" w:rsidR="00090261" w:rsidRPr="004D2AB8" w:rsidRDefault="00090261" w:rsidP="001D41AF">
      <w:pPr>
        <w:pStyle w:val="a5"/>
        <w:numPr>
          <w:ilvl w:val="0"/>
          <w:numId w:val="5"/>
        </w:numPr>
        <w:jc w:val="both"/>
        <w:rPr>
          <w:rFonts w:ascii="Times New Roman" w:hAnsi="Times New Roman"/>
        </w:rPr>
      </w:pPr>
      <w:r w:rsidRPr="004D2AB8">
        <w:rPr>
          <w:rFonts w:ascii="Times New Roman" w:hAnsi="Times New Roman"/>
        </w:rPr>
        <w:t>Prioritiz</w:t>
      </w:r>
      <w:bookmarkStart w:id="0" w:name="_GoBack"/>
      <w:bookmarkEnd w:id="0"/>
      <w:r w:rsidRPr="004D2AB8">
        <w:rPr>
          <w:rFonts w:ascii="Times New Roman" w:hAnsi="Times New Roman"/>
        </w:rPr>
        <w:t>e sync source that can provide accurate time/frequency reference;</w:t>
      </w:r>
    </w:p>
    <w:p w14:paraId="60A21EBF" w14:textId="16DB1A46" w:rsidR="000F6EB9" w:rsidRPr="004D2AB8" w:rsidRDefault="000F6EB9" w:rsidP="001D41AF">
      <w:pPr>
        <w:pStyle w:val="a5"/>
        <w:numPr>
          <w:ilvl w:val="0"/>
          <w:numId w:val="5"/>
        </w:numPr>
        <w:jc w:val="both"/>
        <w:rPr>
          <w:rFonts w:ascii="Times New Roman" w:hAnsi="Times New Roman"/>
        </w:rPr>
      </w:pPr>
      <w:r w:rsidRPr="004D2AB8">
        <w:rPr>
          <w:rFonts w:ascii="Times New Roman" w:hAnsi="Times New Roman"/>
        </w:rPr>
        <w:t>Prioritize sync source that can minimize impact to Uu</w:t>
      </w:r>
      <w:r w:rsidR="00090261" w:rsidRPr="004D2AB8">
        <w:rPr>
          <w:rFonts w:ascii="Times New Roman" w:hAnsi="Times New Roman"/>
        </w:rPr>
        <w:t xml:space="preserve"> operation</w:t>
      </w:r>
      <w:r w:rsidRPr="004D2AB8">
        <w:rPr>
          <w:rFonts w:ascii="Times New Roman" w:hAnsi="Times New Roman"/>
        </w:rPr>
        <w:t>;</w:t>
      </w:r>
    </w:p>
    <w:p w14:paraId="2A1B9380" w14:textId="35B773D0" w:rsidR="007334C3" w:rsidRDefault="007334C3" w:rsidP="009454DD">
      <w:pPr>
        <w:jc w:val="both"/>
        <w:rPr>
          <w:sz w:val="22"/>
          <w:szCs w:val="22"/>
        </w:rPr>
      </w:pPr>
    </w:p>
    <w:p w14:paraId="59E2B89F" w14:textId="43415DB3" w:rsidR="007334C3" w:rsidRDefault="00716B14" w:rsidP="007334C3">
      <w:pPr>
        <w:jc w:val="center"/>
        <w:rPr>
          <w:sz w:val="22"/>
          <w:szCs w:val="22"/>
        </w:rPr>
      </w:pPr>
      <w:r w:rsidRPr="00716B14">
        <w:rPr>
          <w:noProof/>
        </w:rPr>
        <w:drawing>
          <wp:inline distT="0" distB="0" distL="0" distR="0" wp14:anchorId="2220F056" wp14:editId="01660E5B">
            <wp:extent cx="5266055"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2620645"/>
                    </a:xfrm>
                    <a:prstGeom prst="rect">
                      <a:avLst/>
                    </a:prstGeom>
                    <a:noFill/>
                    <a:ln>
                      <a:noFill/>
                    </a:ln>
                  </pic:spPr>
                </pic:pic>
              </a:graphicData>
            </a:graphic>
          </wp:inline>
        </w:drawing>
      </w:r>
    </w:p>
    <w:p w14:paraId="5BE709E2" w14:textId="20D22115" w:rsidR="007334C3" w:rsidRPr="007334C3" w:rsidRDefault="007334C3" w:rsidP="007334C3">
      <w:pPr>
        <w:spacing w:before="120" w:after="240"/>
        <w:jc w:val="center"/>
        <w:rPr>
          <w:b/>
          <w:sz w:val="22"/>
          <w:szCs w:val="22"/>
        </w:rPr>
      </w:pPr>
      <w:r w:rsidRPr="007334C3">
        <w:rPr>
          <w:b/>
          <w:sz w:val="22"/>
          <w:szCs w:val="22"/>
        </w:rPr>
        <w:t>Figure 1. Priority order for out of coverage UE defined in Rel-14 LTE V2X</w:t>
      </w:r>
    </w:p>
    <w:p w14:paraId="78B3A52A" w14:textId="727940D8" w:rsidR="00602684" w:rsidRPr="004D2AB8" w:rsidRDefault="007334C3" w:rsidP="009454DD">
      <w:pPr>
        <w:jc w:val="both"/>
        <w:rPr>
          <w:sz w:val="22"/>
          <w:szCs w:val="22"/>
        </w:rPr>
      </w:pPr>
      <w:r>
        <w:rPr>
          <w:sz w:val="22"/>
          <w:szCs w:val="22"/>
        </w:rPr>
        <w:t xml:space="preserve">Priority order of different sync sources determined according to the principles above </w:t>
      </w:r>
      <w:r w:rsidR="000828C6">
        <w:rPr>
          <w:sz w:val="22"/>
          <w:szCs w:val="22"/>
        </w:rPr>
        <w:t xml:space="preserve">for out of coverage UE </w:t>
      </w:r>
      <w:r>
        <w:rPr>
          <w:sz w:val="22"/>
          <w:szCs w:val="22"/>
        </w:rPr>
        <w:t xml:space="preserve">is shown in Figure 1. </w:t>
      </w:r>
      <w:r w:rsidR="000C2129" w:rsidRPr="004D2AB8">
        <w:rPr>
          <w:sz w:val="22"/>
          <w:szCs w:val="22"/>
        </w:rPr>
        <w:t xml:space="preserve">Basically, </w:t>
      </w:r>
      <w:r w:rsidR="000F6EB9" w:rsidRPr="004D2AB8">
        <w:rPr>
          <w:sz w:val="22"/>
          <w:szCs w:val="22"/>
        </w:rPr>
        <w:t>the same principle</w:t>
      </w:r>
      <w:r w:rsidR="00090261" w:rsidRPr="004D2AB8">
        <w:rPr>
          <w:sz w:val="22"/>
          <w:szCs w:val="22"/>
        </w:rPr>
        <w:t>s</w:t>
      </w:r>
      <w:r w:rsidR="000F6EB9" w:rsidRPr="004D2AB8">
        <w:rPr>
          <w:sz w:val="22"/>
          <w:szCs w:val="22"/>
        </w:rPr>
        <w:t xml:space="preserve"> can be reused for NR V2X. E.g. one carrier can be (pre-)configured to prioritize either GNSS or gNB/eNB as LTE V2X, on top of this configuration, </w:t>
      </w:r>
      <w:r w:rsidR="00090261" w:rsidRPr="004D2AB8">
        <w:rPr>
          <w:sz w:val="22"/>
          <w:szCs w:val="22"/>
        </w:rPr>
        <w:t>a priority order for different types of sync sources can be determined, and UE selects sync source based on the measurement and the priority rule. One major difference from LTE is that there are two kinds of base stations, i.e. eNB and gNB, the priority order between the two can be determined according to the simple RSRP rule.</w:t>
      </w:r>
    </w:p>
    <w:p w14:paraId="79C249DE" w14:textId="77777777" w:rsidR="004D2AB8" w:rsidRDefault="00602684" w:rsidP="00602684">
      <w:pPr>
        <w:spacing w:before="240" w:after="60"/>
        <w:jc w:val="both"/>
        <w:rPr>
          <w:b/>
          <w:i/>
          <w:sz w:val="22"/>
          <w:szCs w:val="22"/>
        </w:rPr>
      </w:pPr>
      <w:r w:rsidRPr="004D2AB8">
        <w:rPr>
          <w:b/>
          <w:i/>
          <w:sz w:val="22"/>
          <w:szCs w:val="22"/>
        </w:rPr>
        <w:lastRenderedPageBreak/>
        <w:t xml:space="preserve">Proposal </w:t>
      </w:r>
      <w:r w:rsidR="005D0863" w:rsidRPr="004D2AB8">
        <w:rPr>
          <w:b/>
          <w:i/>
          <w:sz w:val="22"/>
          <w:szCs w:val="22"/>
        </w:rPr>
        <w:t>2</w:t>
      </w:r>
      <w:r w:rsidRPr="004D2AB8">
        <w:rPr>
          <w:b/>
          <w:i/>
          <w:sz w:val="22"/>
          <w:szCs w:val="22"/>
        </w:rPr>
        <w:t xml:space="preserve">: </w:t>
      </w:r>
    </w:p>
    <w:p w14:paraId="391C4AEC" w14:textId="09FE3EF7" w:rsidR="00044C54" w:rsidRPr="004D2AB8" w:rsidRDefault="00044C54" w:rsidP="001D41AF">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07B45363" w14:textId="77777777" w:rsidR="00044C54" w:rsidRPr="004D2AB8" w:rsidRDefault="00602684" w:rsidP="001D41AF">
      <w:pPr>
        <w:pStyle w:val="a5"/>
        <w:numPr>
          <w:ilvl w:val="1"/>
          <w:numId w:val="7"/>
        </w:numPr>
        <w:jc w:val="both"/>
        <w:rPr>
          <w:rFonts w:ascii="Times New Roman" w:hAnsi="Times New Roman"/>
          <w:b/>
          <w:i/>
        </w:rPr>
      </w:pPr>
      <w:r w:rsidRPr="004D2AB8">
        <w:rPr>
          <w:rFonts w:ascii="Times New Roman" w:hAnsi="Times New Roman"/>
          <w:b/>
          <w:i/>
        </w:rPr>
        <w:t xml:space="preserve"> </w:t>
      </w:r>
      <w:r w:rsidR="00044C54" w:rsidRPr="004D2AB8">
        <w:rPr>
          <w:rFonts w:ascii="Times New Roman" w:hAnsi="Times New Roman"/>
          <w:b/>
          <w:i/>
        </w:rPr>
        <w:t>Prioritize sync source that can provide common time/frequency reference;</w:t>
      </w:r>
    </w:p>
    <w:p w14:paraId="2BEFA43B" w14:textId="77777777" w:rsidR="00044C54" w:rsidRPr="004D2AB8" w:rsidRDefault="00044C54" w:rsidP="001D41AF">
      <w:pPr>
        <w:pStyle w:val="a5"/>
        <w:numPr>
          <w:ilvl w:val="1"/>
          <w:numId w:val="7"/>
        </w:numPr>
        <w:jc w:val="both"/>
        <w:rPr>
          <w:rFonts w:ascii="Times New Roman" w:hAnsi="Times New Roman"/>
          <w:b/>
          <w:i/>
        </w:rPr>
      </w:pPr>
      <w:r w:rsidRPr="004D2AB8">
        <w:rPr>
          <w:rFonts w:ascii="Times New Roman" w:hAnsi="Times New Roman"/>
          <w:b/>
          <w:i/>
        </w:rPr>
        <w:t>Prioritize sync source that can provide accurate time/frequency reference;</w:t>
      </w:r>
    </w:p>
    <w:p w14:paraId="7DFF4723" w14:textId="458DB405" w:rsidR="00A22626" w:rsidRPr="008103BC" w:rsidRDefault="00044C54" w:rsidP="005D0863">
      <w:pPr>
        <w:pStyle w:val="a5"/>
        <w:numPr>
          <w:ilvl w:val="1"/>
          <w:numId w:val="7"/>
        </w:numPr>
        <w:jc w:val="both"/>
        <w:rPr>
          <w:rFonts w:ascii="Times New Roman" w:hAnsi="Times New Roman"/>
          <w:b/>
          <w:i/>
        </w:rPr>
      </w:pPr>
      <w:r w:rsidRPr="004D2AB8">
        <w:rPr>
          <w:rFonts w:ascii="Times New Roman" w:hAnsi="Times New Roman"/>
          <w:b/>
          <w:i/>
        </w:rPr>
        <w:t>Prioritize sync source that can minimize impact to Uu operation;</w:t>
      </w:r>
    </w:p>
    <w:p w14:paraId="1C6EA802" w14:textId="132598E6" w:rsidR="00044C54" w:rsidRPr="00EE44C9" w:rsidRDefault="00EE44C9" w:rsidP="00A9468B">
      <w:pPr>
        <w:spacing w:before="240" w:after="60"/>
        <w:jc w:val="both"/>
        <w:rPr>
          <w:b/>
          <w:sz w:val="22"/>
          <w:szCs w:val="22"/>
          <w:u w:val="single"/>
        </w:rPr>
      </w:pPr>
      <w:r w:rsidRPr="00EE44C9">
        <w:rPr>
          <w:b/>
          <w:sz w:val="22"/>
          <w:szCs w:val="22"/>
          <w:u w:val="single"/>
        </w:rPr>
        <w:t>S-SSB</w:t>
      </w:r>
      <w:r>
        <w:rPr>
          <w:b/>
          <w:sz w:val="22"/>
          <w:szCs w:val="22"/>
          <w:u w:val="single"/>
        </w:rPr>
        <w:t xml:space="preserve"> </w:t>
      </w:r>
      <w:r w:rsidR="00A9468B" w:rsidRPr="004D2AB8">
        <w:rPr>
          <w:b/>
          <w:sz w:val="22"/>
          <w:szCs w:val="22"/>
          <w:u w:val="single"/>
        </w:rPr>
        <w:t>transmission</w:t>
      </w:r>
    </w:p>
    <w:p w14:paraId="674FB808" w14:textId="05B7233F" w:rsidR="009C649F" w:rsidRDefault="00110974" w:rsidP="009C649F">
      <w:pPr>
        <w:jc w:val="both"/>
        <w:rPr>
          <w:sz w:val="22"/>
          <w:szCs w:val="22"/>
        </w:rPr>
      </w:pPr>
      <w:r>
        <w:rPr>
          <w:sz w:val="22"/>
          <w:szCs w:val="22"/>
        </w:rPr>
        <w:t>Within one S-SSB transmission period, multiple S-SSB</w:t>
      </w:r>
      <w:r w:rsidR="00DE6027">
        <w:rPr>
          <w:sz w:val="22"/>
          <w:szCs w:val="22"/>
        </w:rPr>
        <w:t>s</w:t>
      </w:r>
      <w:r>
        <w:rPr>
          <w:sz w:val="22"/>
          <w:szCs w:val="22"/>
        </w:rPr>
        <w:t xml:space="preserve"> may be transmitted to guarantee the reliability of S-SSB and reduce the time for synchronization</w:t>
      </w:r>
      <w:r w:rsidR="00A9468B">
        <w:rPr>
          <w:sz w:val="22"/>
          <w:szCs w:val="22"/>
        </w:rPr>
        <w:t xml:space="preserve"> acquisition</w:t>
      </w:r>
      <w:r>
        <w:rPr>
          <w:sz w:val="22"/>
          <w:szCs w:val="22"/>
        </w:rPr>
        <w:t xml:space="preserve">. </w:t>
      </w:r>
      <w:r w:rsidR="00A9468B">
        <w:rPr>
          <w:sz w:val="22"/>
          <w:szCs w:val="22"/>
        </w:rPr>
        <w:t>If</w:t>
      </w:r>
      <w:r>
        <w:rPr>
          <w:sz w:val="22"/>
          <w:szCs w:val="22"/>
        </w:rPr>
        <w:t xml:space="preserve"> S-SSB is also transmitted on FR2,</w:t>
      </w:r>
      <w:r w:rsidR="00823183">
        <w:rPr>
          <w:sz w:val="22"/>
          <w:szCs w:val="22"/>
        </w:rPr>
        <w:t xml:space="preserve"> beam sweeping may be needed</w:t>
      </w:r>
      <w:r>
        <w:rPr>
          <w:sz w:val="22"/>
          <w:szCs w:val="22"/>
        </w:rPr>
        <w:t xml:space="preserve"> </w:t>
      </w:r>
      <w:r w:rsidR="00823183">
        <w:rPr>
          <w:sz w:val="22"/>
          <w:szCs w:val="22"/>
        </w:rPr>
        <w:t xml:space="preserve">to ensure the coverage of S-SSB, in this case </w:t>
      </w:r>
      <w:r>
        <w:rPr>
          <w:sz w:val="22"/>
          <w:szCs w:val="22"/>
        </w:rPr>
        <w:t>more S-SSBs are needed within a period</w:t>
      </w:r>
      <w:r w:rsidR="008947A7">
        <w:rPr>
          <w:sz w:val="22"/>
          <w:szCs w:val="22"/>
        </w:rPr>
        <w:t>, which implies that the time used for S-SSB transmission is not trivial. UE cannot transmit PSCCH/</w:t>
      </w:r>
      <w:r w:rsidR="0010470E">
        <w:rPr>
          <w:sz w:val="22"/>
          <w:szCs w:val="22"/>
        </w:rPr>
        <w:t>PSSCH during S-SSB transmission, which may lead to additional latency on physical layer. Additionally, a UE</w:t>
      </w:r>
      <w:r w:rsidR="008947A7">
        <w:rPr>
          <w:sz w:val="22"/>
          <w:szCs w:val="22"/>
        </w:rPr>
        <w:t xml:space="preserve"> </w:t>
      </w:r>
      <w:r w:rsidR="0010470E">
        <w:rPr>
          <w:sz w:val="22"/>
          <w:szCs w:val="22"/>
        </w:rPr>
        <w:t xml:space="preserve">transmitting S-SSB </w:t>
      </w:r>
      <w:r w:rsidR="008947A7">
        <w:rPr>
          <w:sz w:val="22"/>
          <w:szCs w:val="22"/>
        </w:rPr>
        <w:t>cannot receive PSC</w:t>
      </w:r>
      <w:r w:rsidR="0010470E">
        <w:rPr>
          <w:sz w:val="22"/>
          <w:szCs w:val="22"/>
        </w:rPr>
        <w:t>CH/PSSCH from other UEs due to half duplex, this is detrimental to the UE and also the entire system. Hence, it is preferable to reduce the</w:t>
      </w:r>
      <w:r w:rsidR="00375E94">
        <w:rPr>
          <w:sz w:val="22"/>
          <w:szCs w:val="22"/>
        </w:rPr>
        <w:t xml:space="preserve"> n</w:t>
      </w:r>
      <w:r w:rsidR="00BF46CA">
        <w:rPr>
          <w:sz w:val="22"/>
          <w:szCs w:val="22"/>
        </w:rPr>
        <w:t xml:space="preserve">umber of S-SSBs within a period. </w:t>
      </w:r>
      <w:r w:rsidR="007E6EE2">
        <w:rPr>
          <w:sz w:val="22"/>
          <w:szCs w:val="22"/>
        </w:rPr>
        <w:t xml:space="preserve">Especially, it should be further studied that if S-SSB transmission on FR2 is necessary. </w:t>
      </w:r>
      <w:r w:rsidR="00BF46CA">
        <w:rPr>
          <w:sz w:val="22"/>
          <w:szCs w:val="22"/>
        </w:rPr>
        <w:t xml:space="preserve"> </w:t>
      </w:r>
    </w:p>
    <w:p w14:paraId="38F4079B" w14:textId="7963C16A" w:rsidR="0086325C" w:rsidRDefault="0086325C" w:rsidP="0086325C">
      <w:pPr>
        <w:spacing w:before="240" w:after="60"/>
        <w:jc w:val="both"/>
        <w:rPr>
          <w:b/>
          <w:i/>
          <w:sz w:val="22"/>
          <w:szCs w:val="22"/>
        </w:rPr>
      </w:pPr>
      <w:r w:rsidRPr="004D2AB8">
        <w:rPr>
          <w:b/>
          <w:i/>
          <w:sz w:val="22"/>
          <w:szCs w:val="22"/>
        </w:rPr>
        <w:t>Proposal</w:t>
      </w:r>
      <w:r>
        <w:rPr>
          <w:b/>
          <w:i/>
          <w:sz w:val="22"/>
          <w:szCs w:val="22"/>
        </w:rPr>
        <w:t xml:space="preserve"> </w:t>
      </w:r>
      <w:r w:rsidR="008103BC">
        <w:rPr>
          <w:b/>
          <w:i/>
          <w:sz w:val="22"/>
          <w:szCs w:val="22"/>
        </w:rPr>
        <w:t>3</w:t>
      </w:r>
      <w:r w:rsidRPr="004D2AB8">
        <w:rPr>
          <w:b/>
          <w:i/>
          <w:sz w:val="22"/>
          <w:szCs w:val="22"/>
        </w:rPr>
        <w:t xml:space="preserve">: </w:t>
      </w:r>
    </w:p>
    <w:p w14:paraId="04D497E2" w14:textId="5C63963A" w:rsidR="0086325C" w:rsidRDefault="0010470E" w:rsidP="0086325C">
      <w:pPr>
        <w:pStyle w:val="a5"/>
        <w:numPr>
          <w:ilvl w:val="0"/>
          <w:numId w:val="5"/>
        </w:numPr>
        <w:jc w:val="both"/>
        <w:rPr>
          <w:rFonts w:ascii="Times New Roman" w:hAnsi="Times New Roman"/>
          <w:b/>
          <w:i/>
        </w:rPr>
      </w:pPr>
      <w:r>
        <w:rPr>
          <w:rFonts w:ascii="Times New Roman" w:hAnsi="Times New Roman"/>
          <w:b/>
          <w:i/>
        </w:rPr>
        <w:t>The number of S-SSBs within a period should be minimized</w:t>
      </w:r>
      <w:r w:rsidR="0086325C">
        <w:rPr>
          <w:rFonts w:ascii="Times New Roman" w:hAnsi="Times New Roman"/>
          <w:b/>
          <w:i/>
        </w:rPr>
        <w:t xml:space="preserve">; </w:t>
      </w:r>
    </w:p>
    <w:p w14:paraId="7387108D" w14:textId="74E20C44" w:rsidR="00307870" w:rsidRPr="004D2AB8" w:rsidRDefault="00307870" w:rsidP="0086325C">
      <w:pPr>
        <w:pStyle w:val="a5"/>
        <w:numPr>
          <w:ilvl w:val="0"/>
          <w:numId w:val="5"/>
        </w:numPr>
        <w:jc w:val="both"/>
        <w:rPr>
          <w:rFonts w:ascii="Times New Roman" w:hAnsi="Times New Roman"/>
          <w:b/>
          <w:i/>
        </w:rPr>
      </w:pPr>
      <w:r>
        <w:rPr>
          <w:rFonts w:ascii="Times New Roman" w:hAnsi="Times New Roman"/>
          <w:b/>
          <w:i/>
        </w:rPr>
        <w:t>FFS if S-SSB transmission on FR2 is necessary;</w:t>
      </w:r>
    </w:p>
    <w:p w14:paraId="758145BF" w14:textId="77777777" w:rsidR="00A9468B" w:rsidRDefault="00A9468B" w:rsidP="008103BC">
      <w:pPr>
        <w:jc w:val="both"/>
        <w:rPr>
          <w:b/>
          <w:sz w:val="22"/>
          <w:szCs w:val="22"/>
          <w:u w:val="single"/>
        </w:rPr>
      </w:pPr>
    </w:p>
    <w:p w14:paraId="41B62481" w14:textId="11368DC4" w:rsidR="008103BC" w:rsidRDefault="008103BC" w:rsidP="008103BC">
      <w:pPr>
        <w:jc w:val="both"/>
        <w:rPr>
          <w:sz w:val="22"/>
          <w:szCs w:val="22"/>
        </w:rPr>
      </w:pPr>
      <w:r>
        <w:rPr>
          <w:sz w:val="22"/>
          <w:szCs w:val="22"/>
        </w:rPr>
        <w:t xml:space="preserve">A NR UE is supposed to have both LTE V2X operation and NR V2X operation on multiple carriers. On the carrier(s) for LTE V2X the NR UE has to transmit SLSS and PSBCH to support synchronization of legacy LTE UEs. If the NR UE is required to transmit </w:t>
      </w:r>
      <w:r w:rsidR="00644AF7" w:rsidRPr="00644AF7">
        <w:rPr>
          <w:sz w:val="22"/>
          <w:szCs w:val="22"/>
        </w:rPr>
        <w:t>S-SSB</w:t>
      </w:r>
      <w:r>
        <w:rPr>
          <w:sz w:val="22"/>
          <w:szCs w:val="22"/>
        </w:rPr>
        <w:t xml:space="preserve"> additionally, transmission overhead and </w:t>
      </w:r>
      <w:proofErr w:type="spellStart"/>
      <w:proofErr w:type="gramStart"/>
      <w:r>
        <w:rPr>
          <w:sz w:val="22"/>
          <w:szCs w:val="22"/>
        </w:rPr>
        <w:t>Tx</w:t>
      </w:r>
      <w:proofErr w:type="spellEnd"/>
      <w:proofErr w:type="gramEnd"/>
      <w:r>
        <w:rPr>
          <w:sz w:val="22"/>
          <w:szCs w:val="22"/>
        </w:rPr>
        <w:t xml:space="preserve"> capability requirement may increase, and also duplicated (from timing acquisition point of view) if </w:t>
      </w:r>
      <w:r>
        <w:rPr>
          <w:rFonts w:hint="eastAsia"/>
          <w:sz w:val="22"/>
          <w:szCs w:val="22"/>
        </w:rPr>
        <w:t xml:space="preserve">the LTE V2X carrier </w:t>
      </w:r>
      <w:r>
        <w:rPr>
          <w:sz w:val="22"/>
          <w:szCs w:val="22"/>
        </w:rPr>
        <w:t>is</w:t>
      </w:r>
      <w:r>
        <w:rPr>
          <w:rFonts w:hint="eastAsia"/>
          <w:sz w:val="22"/>
          <w:szCs w:val="22"/>
        </w:rPr>
        <w:t xml:space="preserve"> synchronized to the NR sidelink carrier</w:t>
      </w:r>
      <w:r>
        <w:rPr>
          <w:sz w:val="22"/>
          <w:szCs w:val="22"/>
        </w:rPr>
        <w:t>. Hence, if NR UE has synchronized LTE V2X and NR V2X simultaneously, it is beneficial that the NR UE only transmits LTE SLSS/PSBCH. If some configuration information of NR sidelink carrier (e.g. BW, SCS, etc.) needs to be conveyed via PSBCH, the reserved bits in LTE PSBCH can be used.</w:t>
      </w:r>
    </w:p>
    <w:p w14:paraId="03A32F73" w14:textId="77777777" w:rsidR="008103BC" w:rsidRDefault="008103BC" w:rsidP="008103BC">
      <w:pPr>
        <w:jc w:val="both"/>
        <w:rPr>
          <w:sz w:val="22"/>
          <w:szCs w:val="22"/>
        </w:rPr>
      </w:pPr>
    </w:p>
    <w:p w14:paraId="2660064D" w14:textId="77777777" w:rsidR="008103BC" w:rsidRPr="004D2AB8" w:rsidRDefault="008103BC" w:rsidP="008103BC">
      <w:pPr>
        <w:jc w:val="both"/>
        <w:rPr>
          <w:sz w:val="22"/>
          <w:szCs w:val="22"/>
        </w:rPr>
      </w:pPr>
      <w:r w:rsidRPr="004D2AB8">
        <w:rPr>
          <w:sz w:val="22"/>
          <w:szCs w:val="22"/>
        </w:rPr>
        <w:t>In LTE V2X, three triggering conditions for SLSS/PSBCH transmission are defined:</w:t>
      </w:r>
    </w:p>
    <w:p w14:paraId="4CDE824D" w14:textId="77777777" w:rsidR="008103BC" w:rsidRPr="004D2AB8" w:rsidRDefault="008103BC" w:rsidP="008103BC">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Receiving instruction from eNB;</w:t>
      </w:r>
    </w:p>
    <w:p w14:paraId="0F39A502" w14:textId="77777777" w:rsidR="008103BC" w:rsidRPr="004D2AB8" w:rsidRDefault="008103BC" w:rsidP="008103BC">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Directly synchronize to GNSS and out of coverage;</w:t>
      </w:r>
    </w:p>
    <w:p w14:paraId="317BF9D2" w14:textId="77777777" w:rsidR="008103BC" w:rsidRPr="004D2AB8" w:rsidRDefault="008103BC" w:rsidP="008103BC">
      <w:pPr>
        <w:pStyle w:val="a5"/>
        <w:numPr>
          <w:ilvl w:val="0"/>
          <w:numId w:val="6"/>
        </w:numPr>
        <w:jc w:val="both"/>
        <w:rPr>
          <w:rFonts w:ascii="Times New Roman" w:eastAsia="宋体" w:hAnsi="Times New Roman"/>
          <w:lang w:val="en-US" w:eastAsia="zh-CN"/>
        </w:rPr>
      </w:pPr>
      <w:r w:rsidRPr="004D2AB8">
        <w:rPr>
          <w:rFonts w:ascii="Times New Roman" w:eastAsia="宋体" w:hAnsi="Times New Roman"/>
          <w:lang w:val="en-US" w:eastAsia="zh-CN"/>
        </w:rPr>
        <w:t>RSRP w.r.t. the sync reference is lower than specific threshold;</w:t>
      </w:r>
    </w:p>
    <w:p w14:paraId="7C2BBAB0" w14:textId="599DD72D" w:rsidR="008103BC" w:rsidRDefault="008103BC" w:rsidP="008103BC">
      <w:pPr>
        <w:jc w:val="both"/>
        <w:rPr>
          <w:sz w:val="22"/>
          <w:szCs w:val="22"/>
        </w:rPr>
      </w:pPr>
      <w:r>
        <w:rPr>
          <w:sz w:val="22"/>
          <w:szCs w:val="22"/>
        </w:rPr>
        <w:t xml:space="preserve">These behaviors can be used as the start point for </w:t>
      </w:r>
      <w:r w:rsidR="00644AF7" w:rsidRPr="00644AF7">
        <w:rPr>
          <w:sz w:val="22"/>
          <w:szCs w:val="22"/>
        </w:rPr>
        <w:t>S-SSB</w:t>
      </w:r>
      <w:r>
        <w:rPr>
          <w:sz w:val="22"/>
          <w:szCs w:val="22"/>
        </w:rPr>
        <w:t xml:space="preserve"> transmission in NR V2X</w:t>
      </w:r>
      <w:r w:rsidRPr="00B5767E">
        <w:rPr>
          <w:sz w:val="22"/>
          <w:szCs w:val="22"/>
        </w:rPr>
        <w:t xml:space="preserve">. </w:t>
      </w:r>
    </w:p>
    <w:p w14:paraId="34A5E421" w14:textId="2A6101F9" w:rsidR="008103BC" w:rsidRDefault="008103BC" w:rsidP="008103BC">
      <w:pPr>
        <w:spacing w:before="240" w:after="60"/>
        <w:jc w:val="both"/>
        <w:rPr>
          <w:b/>
          <w:i/>
          <w:sz w:val="22"/>
          <w:szCs w:val="22"/>
        </w:rPr>
      </w:pPr>
      <w:r w:rsidRPr="004D2AB8">
        <w:rPr>
          <w:b/>
          <w:i/>
          <w:sz w:val="22"/>
          <w:szCs w:val="22"/>
        </w:rPr>
        <w:t>Proposal</w:t>
      </w:r>
      <w:r>
        <w:rPr>
          <w:b/>
          <w:i/>
          <w:sz w:val="22"/>
          <w:szCs w:val="22"/>
        </w:rPr>
        <w:t xml:space="preserve"> 4</w:t>
      </w:r>
      <w:r w:rsidRPr="004D2AB8">
        <w:rPr>
          <w:b/>
          <w:i/>
          <w:sz w:val="22"/>
          <w:szCs w:val="22"/>
        </w:rPr>
        <w:t xml:space="preserve">: </w:t>
      </w:r>
    </w:p>
    <w:p w14:paraId="5B2D98EF" w14:textId="7187B0A5" w:rsidR="008103BC" w:rsidRPr="004D2AB8" w:rsidRDefault="008103BC" w:rsidP="00644AF7">
      <w:pPr>
        <w:pStyle w:val="a5"/>
        <w:numPr>
          <w:ilvl w:val="0"/>
          <w:numId w:val="5"/>
        </w:numPr>
        <w:jc w:val="both"/>
        <w:rPr>
          <w:rFonts w:ascii="Times New Roman" w:hAnsi="Times New Roman"/>
          <w:b/>
          <w:i/>
        </w:rPr>
      </w:pPr>
      <w:r>
        <w:rPr>
          <w:rFonts w:ascii="Times New Roman" w:hAnsi="Times New Roman"/>
          <w:b/>
          <w:i/>
        </w:rPr>
        <w:t xml:space="preserve">Considering to minimize transmission overhead and transmission capability requirement for </w:t>
      </w:r>
      <w:r w:rsidR="00644AF7" w:rsidRPr="00644AF7">
        <w:rPr>
          <w:rFonts w:ascii="Times New Roman" w:hAnsi="Times New Roman"/>
          <w:b/>
          <w:i/>
        </w:rPr>
        <w:t xml:space="preserve">S-SSB </w:t>
      </w:r>
      <w:r>
        <w:rPr>
          <w:rFonts w:ascii="Times New Roman" w:hAnsi="Times New Roman"/>
          <w:b/>
          <w:i/>
        </w:rPr>
        <w:t xml:space="preserve">transmission in NR V2X; </w:t>
      </w:r>
    </w:p>
    <w:p w14:paraId="3ACA4593" w14:textId="77777777" w:rsidR="0086325C" w:rsidRPr="0086325C" w:rsidRDefault="0086325C" w:rsidP="009C649F">
      <w:pPr>
        <w:jc w:val="both"/>
        <w:rPr>
          <w:sz w:val="22"/>
          <w:szCs w:val="22"/>
          <w:lang w:val="en-AU"/>
        </w:rPr>
      </w:pPr>
    </w:p>
    <w:p w14:paraId="5782664A" w14:textId="77777777" w:rsidR="00012620" w:rsidRPr="004D2AB8" w:rsidRDefault="00012620" w:rsidP="00012620">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Conclusion</w:t>
      </w:r>
    </w:p>
    <w:p w14:paraId="72D7FC9B" w14:textId="721B405F" w:rsidR="006A79F4" w:rsidRDefault="006A79F4" w:rsidP="006A79F4">
      <w:pPr>
        <w:jc w:val="both"/>
        <w:rPr>
          <w:sz w:val="22"/>
          <w:szCs w:val="22"/>
        </w:rPr>
      </w:pPr>
      <w:r w:rsidRPr="004D2AB8">
        <w:rPr>
          <w:sz w:val="22"/>
          <w:szCs w:val="22"/>
        </w:rPr>
        <w:t>In this contributions, we discuss</w:t>
      </w:r>
      <w:r w:rsidR="00961BA3">
        <w:rPr>
          <w:sz w:val="22"/>
          <w:szCs w:val="22"/>
        </w:rPr>
        <w:t>ed</w:t>
      </w:r>
      <w:r w:rsidRPr="004D2AB8">
        <w:rPr>
          <w:sz w:val="22"/>
          <w:szCs w:val="22"/>
        </w:rPr>
        <w:t xml:space="preserve"> the issues that need to be considered for support of synchronization in NR-V2X</w:t>
      </w:r>
      <w:r>
        <w:rPr>
          <w:sz w:val="22"/>
          <w:szCs w:val="22"/>
        </w:rPr>
        <w:t>, we have following proposals:</w:t>
      </w:r>
    </w:p>
    <w:p w14:paraId="173C13D1" w14:textId="77777777" w:rsidR="006A79F4" w:rsidRPr="004D2AB8" w:rsidRDefault="006A79F4" w:rsidP="006A79F4">
      <w:pPr>
        <w:jc w:val="both"/>
        <w:rPr>
          <w:sz w:val="22"/>
          <w:szCs w:val="22"/>
        </w:rPr>
      </w:pPr>
    </w:p>
    <w:p w14:paraId="10562AA2" w14:textId="77777777" w:rsidR="0065304A" w:rsidRPr="004D2AB8" w:rsidRDefault="0065304A" w:rsidP="0065304A">
      <w:pPr>
        <w:spacing w:after="120"/>
        <w:jc w:val="both"/>
        <w:rPr>
          <w:b/>
          <w:i/>
          <w:sz w:val="22"/>
          <w:szCs w:val="22"/>
        </w:rPr>
      </w:pPr>
      <w:r w:rsidRPr="004D2AB8">
        <w:rPr>
          <w:b/>
          <w:i/>
          <w:sz w:val="22"/>
          <w:szCs w:val="22"/>
        </w:rPr>
        <w:t xml:space="preserve">Proposal 1: </w:t>
      </w:r>
    </w:p>
    <w:p w14:paraId="54AE5248" w14:textId="77777777" w:rsidR="0065304A" w:rsidRDefault="0065304A" w:rsidP="0065304A">
      <w:pPr>
        <w:pStyle w:val="a5"/>
        <w:numPr>
          <w:ilvl w:val="0"/>
          <w:numId w:val="4"/>
        </w:numPr>
        <w:jc w:val="both"/>
        <w:rPr>
          <w:rFonts w:ascii="Times New Roman" w:hAnsi="Times New Roman"/>
          <w:b/>
          <w:i/>
        </w:rPr>
      </w:pPr>
      <w:r>
        <w:rPr>
          <w:rFonts w:ascii="Times New Roman" w:hAnsi="Times New Roman"/>
          <w:b/>
          <w:i/>
        </w:rPr>
        <w:t>NR UE transmitting LTE SLSS/PSBCH should be used as sync source for NR sidelink;</w:t>
      </w:r>
    </w:p>
    <w:p w14:paraId="3E976E4C" w14:textId="77777777" w:rsidR="0065304A" w:rsidRPr="004D2AB8" w:rsidRDefault="0065304A" w:rsidP="0065304A">
      <w:pPr>
        <w:pStyle w:val="a5"/>
        <w:numPr>
          <w:ilvl w:val="0"/>
          <w:numId w:val="4"/>
        </w:numPr>
        <w:jc w:val="both"/>
        <w:rPr>
          <w:rFonts w:ascii="Times New Roman" w:hAnsi="Times New Roman"/>
          <w:b/>
          <w:i/>
        </w:rPr>
      </w:pPr>
      <w:r>
        <w:rPr>
          <w:rFonts w:ascii="Times New Roman" w:hAnsi="Times New Roman"/>
          <w:b/>
          <w:i/>
        </w:rPr>
        <w:t>FFS if LTE UE can be used as sync source for NR sidelink;</w:t>
      </w:r>
    </w:p>
    <w:p w14:paraId="526F20CA" w14:textId="77777777" w:rsidR="0065304A" w:rsidRDefault="0065304A" w:rsidP="0065304A">
      <w:pPr>
        <w:spacing w:before="240" w:after="60"/>
        <w:jc w:val="both"/>
        <w:rPr>
          <w:b/>
          <w:i/>
          <w:sz w:val="22"/>
          <w:szCs w:val="22"/>
        </w:rPr>
      </w:pPr>
      <w:r w:rsidRPr="004D2AB8">
        <w:rPr>
          <w:b/>
          <w:i/>
          <w:sz w:val="22"/>
          <w:szCs w:val="22"/>
        </w:rPr>
        <w:t xml:space="preserve">Proposal 2: </w:t>
      </w:r>
    </w:p>
    <w:p w14:paraId="0C49D4A8" w14:textId="77777777" w:rsidR="0065304A" w:rsidRPr="004D2AB8" w:rsidRDefault="0065304A" w:rsidP="0065304A">
      <w:pPr>
        <w:pStyle w:val="a5"/>
        <w:numPr>
          <w:ilvl w:val="0"/>
          <w:numId w:val="5"/>
        </w:numPr>
        <w:jc w:val="both"/>
        <w:rPr>
          <w:rFonts w:ascii="Times New Roman" w:hAnsi="Times New Roman"/>
          <w:b/>
          <w:i/>
        </w:rPr>
      </w:pPr>
      <w:r w:rsidRPr="004D2AB8">
        <w:rPr>
          <w:rFonts w:ascii="Times New Roman" w:hAnsi="Times New Roman"/>
          <w:b/>
          <w:i/>
        </w:rPr>
        <w:t>Reuse following principles as LTE V2X for sync source selection in NR V2X:</w:t>
      </w:r>
    </w:p>
    <w:p w14:paraId="076FDA65" w14:textId="77777777" w:rsidR="0065304A" w:rsidRPr="004D2AB8" w:rsidRDefault="0065304A" w:rsidP="0065304A">
      <w:pPr>
        <w:pStyle w:val="a5"/>
        <w:numPr>
          <w:ilvl w:val="1"/>
          <w:numId w:val="7"/>
        </w:numPr>
        <w:jc w:val="both"/>
        <w:rPr>
          <w:rFonts w:ascii="Times New Roman" w:hAnsi="Times New Roman"/>
          <w:b/>
          <w:i/>
        </w:rPr>
      </w:pPr>
      <w:r w:rsidRPr="004D2AB8">
        <w:rPr>
          <w:rFonts w:ascii="Times New Roman" w:hAnsi="Times New Roman"/>
          <w:b/>
          <w:i/>
        </w:rPr>
        <w:t xml:space="preserve"> Prioritize sync source that can provide common time/frequency reference;</w:t>
      </w:r>
    </w:p>
    <w:p w14:paraId="691A125B" w14:textId="77777777" w:rsidR="0065304A" w:rsidRPr="004D2AB8" w:rsidRDefault="0065304A" w:rsidP="0065304A">
      <w:pPr>
        <w:pStyle w:val="a5"/>
        <w:numPr>
          <w:ilvl w:val="1"/>
          <w:numId w:val="7"/>
        </w:numPr>
        <w:jc w:val="both"/>
        <w:rPr>
          <w:rFonts w:ascii="Times New Roman" w:hAnsi="Times New Roman"/>
          <w:b/>
          <w:i/>
        </w:rPr>
      </w:pPr>
      <w:r w:rsidRPr="004D2AB8">
        <w:rPr>
          <w:rFonts w:ascii="Times New Roman" w:hAnsi="Times New Roman"/>
          <w:b/>
          <w:i/>
        </w:rPr>
        <w:lastRenderedPageBreak/>
        <w:t>Prioritize sync source that can provide accurate time/frequency reference;</w:t>
      </w:r>
    </w:p>
    <w:p w14:paraId="283F19B5" w14:textId="77777777" w:rsidR="0065304A" w:rsidRPr="008103BC" w:rsidRDefault="0065304A" w:rsidP="0065304A">
      <w:pPr>
        <w:pStyle w:val="a5"/>
        <w:numPr>
          <w:ilvl w:val="1"/>
          <w:numId w:val="7"/>
        </w:numPr>
        <w:jc w:val="both"/>
        <w:rPr>
          <w:rFonts w:ascii="Times New Roman" w:hAnsi="Times New Roman"/>
          <w:b/>
          <w:i/>
        </w:rPr>
      </w:pPr>
      <w:r w:rsidRPr="004D2AB8">
        <w:rPr>
          <w:rFonts w:ascii="Times New Roman" w:hAnsi="Times New Roman"/>
          <w:b/>
          <w:i/>
        </w:rPr>
        <w:t>Prioritize sync source that can minimize impact to Uu operation;</w:t>
      </w:r>
    </w:p>
    <w:p w14:paraId="17C9F6C5" w14:textId="77777777" w:rsidR="0065304A" w:rsidRDefault="0065304A" w:rsidP="0065304A">
      <w:pPr>
        <w:spacing w:before="240" w:after="60"/>
        <w:jc w:val="both"/>
        <w:rPr>
          <w:b/>
          <w:i/>
          <w:sz w:val="22"/>
          <w:szCs w:val="22"/>
        </w:rPr>
      </w:pPr>
      <w:r w:rsidRPr="004D2AB8">
        <w:rPr>
          <w:b/>
          <w:i/>
          <w:sz w:val="22"/>
          <w:szCs w:val="22"/>
        </w:rPr>
        <w:t>Proposal</w:t>
      </w:r>
      <w:r>
        <w:rPr>
          <w:b/>
          <w:i/>
          <w:sz w:val="22"/>
          <w:szCs w:val="22"/>
        </w:rPr>
        <w:t xml:space="preserve"> 3</w:t>
      </w:r>
      <w:r w:rsidRPr="004D2AB8">
        <w:rPr>
          <w:b/>
          <w:i/>
          <w:sz w:val="22"/>
          <w:szCs w:val="22"/>
        </w:rPr>
        <w:t xml:space="preserve">: </w:t>
      </w:r>
    </w:p>
    <w:p w14:paraId="3A0C9804" w14:textId="77777777" w:rsidR="0065304A" w:rsidRDefault="0065304A" w:rsidP="0065304A">
      <w:pPr>
        <w:pStyle w:val="a5"/>
        <w:numPr>
          <w:ilvl w:val="0"/>
          <w:numId w:val="5"/>
        </w:numPr>
        <w:jc w:val="both"/>
        <w:rPr>
          <w:rFonts w:ascii="Times New Roman" w:hAnsi="Times New Roman"/>
          <w:b/>
          <w:i/>
        </w:rPr>
      </w:pPr>
      <w:r>
        <w:rPr>
          <w:rFonts w:ascii="Times New Roman" w:hAnsi="Times New Roman"/>
          <w:b/>
          <w:i/>
        </w:rPr>
        <w:t xml:space="preserve">The number of S-SSBs within a period should be minimized; </w:t>
      </w:r>
    </w:p>
    <w:p w14:paraId="1030B0FD" w14:textId="77777777" w:rsidR="0065304A" w:rsidRPr="004D2AB8" w:rsidRDefault="0065304A" w:rsidP="0065304A">
      <w:pPr>
        <w:pStyle w:val="a5"/>
        <w:numPr>
          <w:ilvl w:val="0"/>
          <w:numId w:val="5"/>
        </w:numPr>
        <w:jc w:val="both"/>
        <w:rPr>
          <w:rFonts w:ascii="Times New Roman" w:hAnsi="Times New Roman"/>
          <w:b/>
          <w:i/>
        </w:rPr>
      </w:pPr>
      <w:r>
        <w:rPr>
          <w:rFonts w:ascii="Times New Roman" w:hAnsi="Times New Roman"/>
          <w:b/>
          <w:i/>
        </w:rPr>
        <w:t>FFS if S-SSB transmission on FR2 is necessary;</w:t>
      </w:r>
    </w:p>
    <w:p w14:paraId="3702A417" w14:textId="77777777" w:rsidR="0065304A" w:rsidRDefault="0065304A" w:rsidP="0065304A">
      <w:pPr>
        <w:spacing w:before="240" w:after="60"/>
        <w:jc w:val="both"/>
        <w:rPr>
          <w:b/>
          <w:i/>
          <w:sz w:val="22"/>
          <w:szCs w:val="22"/>
        </w:rPr>
      </w:pPr>
      <w:r w:rsidRPr="004D2AB8">
        <w:rPr>
          <w:b/>
          <w:i/>
          <w:sz w:val="22"/>
          <w:szCs w:val="22"/>
        </w:rPr>
        <w:t>Proposal</w:t>
      </w:r>
      <w:r>
        <w:rPr>
          <w:b/>
          <w:i/>
          <w:sz w:val="22"/>
          <w:szCs w:val="22"/>
        </w:rPr>
        <w:t xml:space="preserve"> 4</w:t>
      </w:r>
      <w:r w:rsidRPr="004D2AB8">
        <w:rPr>
          <w:b/>
          <w:i/>
          <w:sz w:val="22"/>
          <w:szCs w:val="22"/>
        </w:rPr>
        <w:t xml:space="preserve">: </w:t>
      </w:r>
    </w:p>
    <w:p w14:paraId="740C0CC2" w14:textId="4332E26D" w:rsidR="00CE477A" w:rsidRPr="0065304A" w:rsidRDefault="0065304A" w:rsidP="00CE477A">
      <w:pPr>
        <w:pStyle w:val="a5"/>
        <w:numPr>
          <w:ilvl w:val="0"/>
          <w:numId w:val="5"/>
        </w:numPr>
        <w:jc w:val="both"/>
        <w:rPr>
          <w:rFonts w:ascii="Times New Roman" w:hAnsi="Times New Roman"/>
          <w:b/>
          <w:i/>
        </w:rPr>
      </w:pPr>
      <w:r>
        <w:rPr>
          <w:rFonts w:ascii="Times New Roman" w:hAnsi="Times New Roman"/>
          <w:b/>
          <w:i/>
        </w:rPr>
        <w:t xml:space="preserve">Considering to minimize transmission overhead and transmission capability requirement for </w:t>
      </w:r>
      <w:r w:rsidRPr="00644AF7">
        <w:rPr>
          <w:rFonts w:ascii="Times New Roman" w:hAnsi="Times New Roman"/>
          <w:b/>
          <w:i/>
        </w:rPr>
        <w:t xml:space="preserve">S-SSB </w:t>
      </w:r>
      <w:r>
        <w:rPr>
          <w:rFonts w:ascii="Times New Roman" w:hAnsi="Times New Roman"/>
          <w:b/>
          <w:i/>
        </w:rPr>
        <w:t xml:space="preserve">transmission in NR V2X; </w:t>
      </w:r>
    </w:p>
    <w:p w14:paraId="00456AB0" w14:textId="79A4956E" w:rsidR="00012620" w:rsidRPr="004D2AB8" w:rsidRDefault="00012620" w:rsidP="006A79F4">
      <w:pPr>
        <w:pStyle w:val="1"/>
        <w:spacing w:after="120"/>
        <w:jc w:val="both"/>
        <w:rPr>
          <w:rFonts w:ascii="Times New Roman" w:hAnsi="Times New Roman" w:cs="Times New Roman"/>
          <w:sz w:val="22"/>
          <w:szCs w:val="22"/>
          <w:lang w:val="en-AU" w:eastAsia="en-AU"/>
        </w:rPr>
      </w:pPr>
      <w:r w:rsidRPr="004D2AB8">
        <w:rPr>
          <w:rFonts w:ascii="Times New Roman" w:hAnsi="Times New Roman" w:cs="Times New Roman"/>
          <w:sz w:val="22"/>
          <w:szCs w:val="22"/>
          <w:lang w:val="en-AU" w:eastAsia="en-AU"/>
        </w:rPr>
        <w:t>References</w:t>
      </w:r>
    </w:p>
    <w:p w14:paraId="096A970E" w14:textId="6B863521" w:rsidR="00142CCF" w:rsidRPr="004D2AB8" w:rsidRDefault="006F6050" w:rsidP="001D41AF">
      <w:pPr>
        <w:pStyle w:val="a5"/>
        <w:numPr>
          <w:ilvl w:val="0"/>
          <w:numId w:val="2"/>
        </w:numPr>
        <w:tabs>
          <w:tab w:val="left" w:pos="567"/>
        </w:tabs>
        <w:ind w:left="-284" w:firstLine="284"/>
        <w:jc w:val="both"/>
        <w:rPr>
          <w:rFonts w:ascii="Times New Roman" w:hAnsi="Times New Roman"/>
        </w:rPr>
      </w:pPr>
      <w:bookmarkStart w:id="1" w:name="_Ref521069630"/>
      <w:r w:rsidRPr="004D2AB8">
        <w:rPr>
          <w:rFonts w:ascii="Times New Roman" w:hAnsi="Times New Roman"/>
        </w:rPr>
        <w:t>RP-181429, New SID: Study on NR V2X</w:t>
      </w:r>
      <w:bookmarkEnd w:id="1"/>
      <w:r w:rsidR="00384B0A">
        <w:rPr>
          <w:rFonts w:ascii="Times New Roman" w:hAnsi="Times New Roman"/>
        </w:rPr>
        <w:t>;</w:t>
      </w:r>
    </w:p>
    <w:p w14:paraId="1113D4E0" w14:textId="088DA60A" w:rsidR="00A60138" w:rsidRPr="004D2AB8" w:rsidRDefault="00384B0A" w:rsidP="001D41AF">
      <w:pPr>
        <w:pStyle w:val="a5"/>
        <w:numPr>
          <w:ilvl w:val="0"/>
          <w:numId w:val="2"/>
        </w:numPr>
        <w:tabs>
          <w:tab w:val="left" w:pos="567"/>
        </w:tabs>
        <w:ind w:left="-284" w:firstLine="284"/>
        <w:jc w:val="both"/>
        <w:rPr>
          <w:rFonts w:ascii="Times New Roman" w:hAnsi="Times New Roman"/>
        </w:rPr>
      </w:pPr>
      <w:bookmarkStart w:id="2" w:name="_Ref525032988"/>
      <w:r>
        <w:rPr>
          <w:rFonts w:ascii="Times New Roman" w:hAnsi="Times New Roman"/>
        </w:rPr>
        <w:t>Chairman's Notes RAN1#94</w:t>
      </w:r>
      <w:r w:rsidR="00740B18">
        <w:rPr>
          <w:rFonts w:ascii="Times New Roman" w:hAnsi="Times New Roman"/>
        </w:rPr>
        <w:t>bis</w:t>
      </w:r>
      <w:r>
        <w:rPr>
          <w:rFonts w:ascii="Times New Roman" w:hAnsi="Times New Roman"/>
        </w:rPr>
        <w:t>;</w:t>
      </w:r>
      <w:bookmarkEnd w:id="2"/>
    </w:p>
    <w:sectPr w:rsidR="00A60138" w:rsidRPr="004D2AB8"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5D8C5" w14:textId="77777777" w:rsidR="00C3288A" w:rsidRDefault="00C3288A" w:rsidP="00537E71">
      <w:r>
        <w:separator/>
      </w:r>
    </w:p>
  </w:endnote>
  <w:endnote w:type="continuationSeparator" w:id="0">
    <w:p w14:paraId="42FBBA6F" w14:textId="77777777" w:rsidR="00C3288A" w:rsidRDefault="00C3288A"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18E4E6FF" w:rsidR="00537E71" w:rsidRPr="00537E71" w:rsidRDefault="00537E71" w:rsidP="00537E71">
        <w:pPr>
          <w:pStyle w:val="ac"/>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65304A">
          <w:rPr>
            <w:noProof/>
            <w:sz w:val="20"/>
            <w:szCs w:val="20"/>
          </w:rPr>
          <w:t>2</w:t>
        </w:r>
        <w:r w:rsidRPr="00537E71">
          <w:rPr>
            <w:noProof/>
            <w:sz w:val="20"/>
            <w:szCs w:val="20"/>
          </w:rPr>
          <w:fldChar w:fldCharType="end"/>
        </w:r>
        <w:r w:rsidRPr="00537E71">
          <w:rPr>
            <w:noProof/>
            <w:sz w:val="20"/>
            <w:szCs w:val="20"/>
          </w:rPr>
          <w:t>/</w:t>
        </w:r>
        <w:r w:rsidR="00AA042C">
          <w:rPr>
            <w:noProof/>
            <w:sz w:val="20"/>
            <w:szCs w:val="20"/>
          </w:rPr>
          <w:t>4</w:t>
        </w:r>
      </w:p>
    </w:sdtContent>
  </w:sdt>
  <w:p w14:paraId="26309CDB" w14:textId="77777777" w:rsidR="00537E71" w:rsidRDefault="00537E7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2182C" w14:textId="77777777" w:rsidR="00C3288A" w:rsidRDefault="00C3288A" w:rsidP="00537E71">
      <w:r>
        <w:separator/>
      </w:r>
    </w:p>
  </w:footnote>
  <w:footnote w:type="continuationSeparator" w:id="0">
    <w:p w14:paraId="7BFB6610" w14:textId="77777777" w:rsidR="00C3288A" w:rsidRDefault="00C3288A"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 w:numId="6">
    <w:abstractNumId w:val="5"/>
  </w:num>
  <w:num w:numId="7">
    <w:abstractNumId w:val="7"/>
  </w:num>
  <w:num w:numId="8">
    <w:abstractNumId w:val="6"/>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41B6"/>
    <w:rsid w:val="000252C7"/>
    <w:rsid w:val="000275CE"/>
    <w:rsid w:val="00030E45"/>
    <w:rsid w:val="0003530B"/>
    <w:rsid w:val="00040C03"/>
    <w:rsid w:val="000413E6"/>
    <w:rsid w:val="000413E7"/>
    <w:rsid w:val="00043263"/>
    <w:rsid w:val="00044C54"/>
    <w:rsid w:val="000479BC"/>
    <w:rsid w:val="00056F51"/>
    <w:rsid w:val="000572A3"/>
    <w:rsid w:val="00063CBD"/>
    <w:rsid w:val="00066736"/>
    <w:rsid w:val="00071AC4"/>
    <w:rsid w:val="00073367"/>
    <w:rsid w:val="00074D94"/>
    <w:rsid w:val="00077429"/>
    <w:rsid w:val="00080F64"/>
    <w:rsid w:val="000828C6"/>
    <w:rsid w:val="00084820"/>
    <w:rsid w:val="00084A61"/>
    <w:rsid w:val="00084E1D"/>
    <w:rsid w:val="00090261"/>
    <w:rsid w:val="00090B2B"/>
    <w:rsid w:val="000965DC"/>
    <w:rsid w:val="00096B99"/>
    <w:rsid w:val="00096EC1"/>
    <w:rsid w:val="000973F6"/>
    <w:rsid w:val="000A1118"/>
    <w:rsid w:val="000A1B5B"/>
    <w:rsid w:val="000A233E"/>
    <w:rsid w:val="000A25E5"/>
    <w:rsid w:val="000A2842"/>
    <w:rsid w:val="000A390F"/>
    <w:rsid w:val="000A3D74"/>
    <w:rsid w:val="000A4EFD"/>
    <w:rsid w:val="000A6CBB"/>
    <w:rsid w:val="000A7265"/>
    <w:rsid w:val="000B023C"/>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CE9"/>
    <w:rsid w:val="000F2DD5"/>
    <w:rsid w:val="000F4525"/>
    <w:rsid w:val="000F4EEC"/>
    <w:rsid w:val="000F6695"/>
    <w:rsid w:val="000F6EB9"/>
    <w:rsid w:val="000F7C77"/>
    <w:rsid w:val="00100732"/>
    <w:rsid w:val="001016D2"/>
    <w:rsid w:val="00103243"/>
    <w:rsid w:val="00103DC8"/>
    <w:rsid w:val="0010470E"/>
    <w:rsid w:val="00106FED"/>
    <w:rsid w:val="00110974"/>
    <w:rsid w:val="00111437"/>
    <w:rsid w:val="0012284E"/>
    <w:rsid w:val="0012581A"/>
    <w:rsid w:val="001270DF"/>
    <w:rsid w:val="001272D6"/>
    <w:rsid w:val="00131E2B"/>
    <w:rsid w:val="00134258"/>
    <w:rsid w:val="00135377"/>
    <w:rsid w:val="00135EEF"/>
    <w:rsid w:val="00136892"/>
    <w:rsid w:val="00136991"/>
    <w:rsid w:val="00141046"/>
    <w:rsid w:val="00142CCF"/>
    <w:rsid w:val="00144758"/>
    <w:rsid w:val="001447E5"/>
    <w:rsid w:val="00145201"/>
    <w:rsid w:val="00146C64"/>
    <w:rsid w:val="001545A9"/>
    <w:rsid w:val="00156460"/>
    <w:rsid w:val="00157C3C"/>
    <w:rsid w:val="00170E62"/>
    <w:rsid w:val="00171BD3"/>
    <w:rsid w:val="001758DE"/>
    <w:rsid w:val="0017727B"/>
    <w:rsid w:val="00183A18"/>
    <w:rsid w:val="00190889"/>
    <w:rsid w:val="00190B38"/>
    <w:rsid w:val="00194A0F"/>
    <w:rsid w:val="00195650"/>
    <w:rsid w:val="001A0C26"/>
    <w:rsid w:val="001A43D4"/>
    <w:rsid w:val="001A62A1"/>
    <w:rsid w:val="001B0CDB"/>
    <w:rsid w:val="001B2558"/>
    <w:rsid w:val="001B2ED3"/>
    <w:rsid w:val="001B39EA"/>
    <w:rsid w:val="001B4D72"/>
    <w:rsid w:val="001B55CD"/>
    <w:rsid w:val="001B61B4"/>
    <w:rsid w:val="001B7060"/>
    <w:rsid w:val="001B7061"/>
    <w:rsid w:val="001C086E"/>
    <w:rsid w:val="001C151A"/>
    <w:rsid w:val="001C2B5C"/>
    <w:rsid w:val="001C384D"/>
    <w:rsid w:val="001C5AFF"/>
    <w:rsid w:val="001C5C25"/>
    <w:rsid w:val="001D0009"/>
    <w:rsid w:val="001D0EA3"/>
    <w:rsid w:val="001D260D"/>
    <w:rsid w:val="001D2783"/>
    <w:rsid w:val="001D41AF"/>
    <w:rsid w:val="001E02F6"/>
    <w:rsid w:val="001E0797"/>
    <w:rsid w:val="001E28D5"/>
    <w:rsid w:val="001E3561"/>
    <w:rsid w:val="001E6D90"/>
    <w:rsid w:val="001F1DFA"/>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4FB"/>
    <w:rsid w:val="002214DD"/>
    <w:rsid w:val="002276C5"/>
    <w:rsid w:val="0022771B"/>
    <w:rsid w:val="002277ED"/>
    <w:rsid w:val="00233200"/>
    <w:rsid w:val="0023600E"/>
    <w:rsid w:val="00236613"/>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6584"/>
    <w:rsid w:val="00295972"/>
    <w:rsid w:val="00295D9A"/>
    <w:rsid w:val="002A0659"/>
    <w:rsid w:val="002A27EE"/>
    <w:rsid w:val="002A42C1"/>
    <w:rsid w:val="002A6A6E"/>
    <w:rsid w:val="002B025C"/>
    <w:rsid w:val="002B2ABC"/>
    <w:rsid w:val="002B2C43"/>
    <w:rsid w:val="002B409D"/>
    <w:rsid w:val="002B4AE4"/>
    <w:rsid w:val="002C2981"/>
    <w:rsid w:val="002C5BEE"/>
    <w:rsid w:val="002C76AC"/>
    <w:rsid w:val="002D315A"/>
    <w:rsid w:val="002D4492"/>
    <w:rsid w:val="002E4B09"/>
    <w:rsid w:val="002F1AD9"/>
    <w:rsid w:val="002F1E2D"/>
    <w:rsid w:val="002F3145"/>
    <w:rsid w:val="002F419F"/>
    <w:rsid w:val="002F4683"/>
    <w:rsid w:val="002F52E8"/>
    <w:rsid w:val="002F5A67"/>
    <w:rsid w:val="002F64DB"/>
    <w:rsid w:val="002F7C28"/>
    <w:rsid w:val="00300111"/>
    <w:rsid w:val="00303B06"/>
    <w:rsid w:val="00307870"/>
    <w:rsid w:val="00310331"/>
    <w:rsid w:val="0031251D"/>
    <w:rsid w:val="00312581"/>
    <w:rsid w:val="0031414C"/>
    <w:rsid w:val="00316A59"/>
    <w:rsid w:val="00320166"/>
    <w:rsid w:val="003227CE"/>
    <w:rsid w:val="00324928"/>
    <w:rsid w:val="003250D8"/>
    <w:rsid w:val="00326754"/>
    <w:rsid w:val="00327E99"/>
    <w:rsid w:val="003336E5"/>
    <w:rsid w:val="00333C23"/>
    <w:rsid w:val="00334BBF"/>
    <w:rsid w:val="00334CCC"/>
    <w:rsid w:val="003351F4"/>
    <w:rsid w:val="00335778"/>
    <w:rsid w:val="00336D54"/>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97210"/>
    <w:rsid w:val="003A013F"/>
    <w:rsid w:val="003A13A6"/>
    <w:rsid w:val="003A2689"/>
    <w:rsid w:val="003A28A3"/>
    <w:rsid w:val="003A394B"/>
    <w:rsid w:val="003A3D66"/>
    <w:rsid w:val="003A4473"/>
    <w:rsid w:val="003A4623"/>
    <w:rsid w:val="003B12CD"/>
    <w:rsid w:val="003B2427"/>
    <w:rsid w:val="003B3E2E"/>
    <w:rsid w:val="003B6D6D"/>
    <w:rsid w:val="003B7C3E"/>
    <w:rsid w:val="003C0FE0"/>
    <w:rsid w:val="003C202F"/>
    <w:rsid w:val="003C538C"/>
    <w:rsid w:val="003C66BF"/>
    <w:rsid w:val="003D010A"/>
    <w:rsid w:val="003D7CA4"/>
    <w:rsid w:val="003E11BF"/>
    <w:rsid w:val="003F21AD"/>
    <w:rsid w:val="003F4055"/>
    <w:rsid w:val="003F5E89"/>
    <w:rsid w:val="003F603C"/>
    <w:rsid w:val="003F62B7"/>
    <w:rsid w:val="00403D55"/>
    <w:rsid w:val="004044BE"/>
    <w:rsid w:val="00405143"/>
    <w:rsid w:val="00405F29"/>
    <w:rsid w:val="004107C3"/>
    <w:rsid w:val="00411516"/>
    <w:rsid w:val="00413BD2"/>
    <w:rsid w:val="00413C33"/>
    <w:rsid w:val="00414A38"/>
    <w:rsid w:val="00415C33"/>
    <w:rsid w:val="00417A8D"/>
    <w:rsid w:val="0042275D"/>
    <w:rsid w:val="004244A7"/>
    <w:rsid w:val="00426DDE"/>
    <w:rsid w:val="004333A5"/>
    <w:rsid w:val="00442CA4"/>
    <w:rsid w:val="004452EF"/>
    <w:rsid w:val="004465CF"/>
    <w:rsid w:val="0044732D"/>
    <w:rsid w:val="004513F2"/>
    <w:rsid w:val="0046112B"/>
    <w:rsid w:val="00463BA2"/>
    <w:rsid w:val="00464307"/>
    <w:rsid w:val="0047170C"/>
    <w:rsid w:val="00471FA6"/>
    <w:rsid w:val="00473DF7"/>
    <w:rsid w:val="00474AB1"/>
    <w:rsid w:val="0048169B"/>
    <w:rsid w:val="004841C9"/>
    <w:rsid w:val="00495CC7"/>
    <w:rsid w:val="004A5493"/>
    <w:rsid w:val="004A6506"/>
    <w:rsid w:val="004A670A"/>
    <w:rsid w:val="004A6EE2"/>
    <w:rsid w:val="004B17E5"/>
    <w:rsid w:val="004B6A7A"/>
    <w:rsid w:val="004C0F81"/>
    <w:rsid w:val="004C185E"/>
    <w:rsid w:val="004D1F37"/>
    <w:rsid w:val="004D2AB8"/>
    <w:rsid w:val="004D4785"/>
    <w:rsid w:val="004D52E8"/>
    <w:rsid w:val="004D6703"/>
    <w:rsid w:val="004D6B52"/>
    <w:rsid w:val="004E03D2"/>
    <w:rsid w:val="004E297D"/>
    <w:rsid w:val="004E3657"/>
    <w:rsid w:val="004E3F18"/>
    <w:rsid w:val="004E5423"/>
    <w:rsid w:val="004E7831"/>
    <w:rsid w:val="004F57F2"/>
    <w:rsid w:val="004F5DDA"/>
    <w:rsid w:val="004F715A"/>
    <w:rsid w:val="004F74AE"/>
    <w:rsid w:val="004F76C9"/>
    <w:rsid w:val="00500466"/>
    <w:rsid w:val="005014DF"/>
    <w:rsid w:val="0050791A"/>
    <w:rsid w:val="00511D2A"/>
    <w:rsid w:val="005137DD"/>
    <w:rsid w:val="00514E2C"/>
    <w:rsid w:val="00515512"/>
    <w:rsid w:val="00517078"/>
    <w:rsid w:val="00517524"/>
    <w:rsid w:val="00520BF8"/>
    <w:rsid w:val="00521281"/>
    <w:rsid w:val="005226F2"/>
    <w:rsid w:val="00524121"/>
    <w:rsid w:val="00526D49"/>
    <w:rsid w:val="0053338F"/>
    <w:rsid w:val="00535CB8"/>
    <w:rsid w:val="005363FF"/>
    <w:rsid w:val="00536CEE"/>
    <w:rsid w:val="00537E71"/>
    <w:rsid w:val="005418B2"/>
    <w:rsid w:val="00543388"/>
    <w:rsid w:val="00544477"/>
    <w:rsid w:val="0054697F"/>
    <w:rsid w:val="00560BAE"/>
    <w:rsid w:val="005678B7"/>
    <w:rsid w:val="00574529"/>
    <w:rsid w:val="0057612F"/>
    <w:rsid w:val="00587632"/>
    <w:rsid w:val="005903BF"/>
    <w:rsid w:val="005953E6"/>
    <w:rsid w:val="005A222E"/>
    <w:rsid w:val="005A3645"/>
    <w:rsid w:val="005A52CD"/>
    <w:rsid w:val="005B0DEC"/>
    <w:rsid w:val="005B41D7"/>
    <w:rsid w:val="005C334E"/>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D3A"/>
    <w:rsid w:val="005F4DF4"/>
    <w:rsid w:val="005F4F83"/>
    <w:rsid w:val="005F5693"/>
    <w:rsid w:val="005F56F2"/>
    <w:rsid w:val="005F61D9"/>
    <w:rsid w:val="005F733A"/>
    <w:rsid w:val="00600F00"/>
    <w:rsid w:val="006013E3"/>
    <w:rsid w:val="0060267D"/>
    <w:rsid w:val="00602684"/>
    <w:rsid w:val="00603514"/>
    <w:rsid w:val="006065FC"/>
    <w:rsid w:val="00611884"/>
    <w:rsid w:val="00611AEE"/>
    <w:rsid w:val="00612CE5"/>
    <w:rsid w:val="0061472F"/>
    <w:rsid w:val="00614770"/>
    <w:rsid w:val="00614845"/>
    <w:rsid w:val="006170F2"/>
    <w:rsid w:val="00617132"/>
    <w:rsid w:val="00617787"/>
    <w:rsid w:val="00622DCE"/>
    <w:rsid w:val="00624497"/>
    <w:rsid w:val="00625EDB"/>
    <w:rsid w:val="00626378"/>
    <w:rsid w:val="00626859"/>
    <w:rsid w:val="006320A2"/>
    <w:rsid w:val="00632F19"/>
    <w:rsid w:val="00640634"/>
    <w:rsid w:val="00644AF7"/>
    <w:rsid w:val="00645AE8"/>
    <w:rsid w:val="00647C97"/>
    <w:rsid w:val="0065304A"/>
    <w:rsid w:val="006634CC"/>
    <w:rsid w:val="00666EBA"/>
    <w:rsid w:val="0067002C"/>
    <w:rsid w:val="006729C7"/>
    <w:rsid w:val="0067477F"/>
    <w:rsid w:val="0067725C"/>
    <w:rsid w:val="00681A4C"/>
    <w:rsid w:val="00682989"/>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1FD1"/>
    <w:rsid w:val="006A5630"/>
    <w:rsid w:val="006A58ED"/>
    <w:rsid w:val="006A6221"/>
    <w:rsid w:val="006A713E"/>
    <w:rsid w:val="006A79F4"/>
    <w:rsid w:val="006B5ECA"/>
    <w:rsid w:val="006B6F7B"/>
    <w:rsid w:val="006C1108"/>
    <w:rsid w:val="006C3F1F"/>
    <w:rsid w:val="006D19C9"/>
    <w:rsid w:val="006D22F7"/>
    <w:rsid w:val="006D2B42"/>
    <w:rsid w:val="006D3166"/>
    <w:rsid w:val="006D56AC"/>
    <w:rsid w:val="006D57BA"/>
    <w:rsid w:val="006E2C6F"/>
    <w:rsid w:val="006E45AE"/>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483C"/>
    <w:rsid w:val="007760C5"/>
    <w:rsid w:val="007765A2"/>
    <w:rsid w:val="00783902"/>
    <w:rsid w:val="00784533"/>
    <w:rsid w:val="0078644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AD4"/>
    <w:rsid w:val="00800181"/>
    <w:rsid w:val="00801301"/>
    <w:rsid w:val="008029A3"/>
    <w:rsid w:val="008103BC"/>
    <w:rsid w:val="008118F4"/>
    <w:rsid w:val="0081249C"/>
    <w:rsid w:val="00814695"/>
    <w:rsid w:val="0081481F"/>
    <w:rsid w:val="00823183"/>
    <w:rsid w:val="00825F64"/>
    <w:rsid w:val="008274CB"/>
    <w:rsid w:val="0083442C"/>
    <w:rsid w:val="008368C8"/>
    <w:rsid w:val="00841F6A"/>
    <w:rsid w:val="0084257B"/>
    <w:rsid w:val="0084290B"/>
    <w:rsid w:val="008434E1"/>
    <w:rsid w:val="00850CA6"/>
    <w:rsid w:val="00853D95"/>
    <w:rsid w:val="00857213"/>
    <w:rsid w:val="0085747A"/>
    <w:rsid w:val="00860D49"/>
    <w:rsid w:val="0086213D"/>
    <w:rsid w:val="008626ED"/>
    <w:rsid w:val="0086325C"/>
    <w:rsid w:val="008651A6"/>
    <w:rsid w:val="008701EF"/>
    <w:rsid w:val="008707B6"/>
    <w:rsid w:val="00871657"/>
    <w:rsid w:val="008722B8"/>
    <w:rsid w:val="008744C0"/>
    <w:rsid w:val="00875408"/>
    <w:rsid w:val="00876EDC"/>
    <w:rsid w:val="008773C7"/>
    <w:rsid w:val="00882514"/>
    <w:rsid w:val="00890D5D"/>
    <w:rsid w:val="00891305"/>
    <w:rsid w:val="008947A7"/>
    <w:rsid w:val="00894991"/>
    <w:rsid w:val="00894DE0"/>
    <w:rsid w:val="00895E9A"/>
    <w:rsid w:val="008A0DC8"/>
    <w:rsid w:val="008A1DFA"/>
    <w:rsid w:val="008A4691"/>
    <w:rsid w:val="008B5D42"/>
    <w:rsid w:val="008B7C07"/>
    <w:rsid w:val="008C038D"/>
    <w:rsid w:val="008C0E1E"/>
    <w:rsid w:val="008C1D50"/>
    <w:rsid w:val="008C1FD4"/>
    <w:rsid w:val="008C4203"/>
    <w:rsid w:val="008C5288"/>
    <w:rsid w:val="008C7026"/>
    <w:rsid w:val="008D2325"/>
    <w:rsid w:val="008D4D3D"/>
    <w:rsid w:val="008D4F22"/>
    <w:rsid w:val="008D6519"/>
    <w:rsid w:val="008E2271"/>
    <w:rsid w:val="008E589C"/>
    <w:rsid w:val="008F385D"/>
    <w:rsid w:val="008F67AD"/>
    <w:rsid w:val="008F6C07"/>
    <w:rsid w:val="00901198"/>
    <w:rsid w:val="0090285D"/>
    <w:rsid w:val="00904A68"/>
    <w:rsid w:val="00905DF7"/>
    <w:rsid w:val="00907F18"/>
    <w:rsid w:val="00916869"/>
    <w:rsid w:val="009174FA"/>
    <w:rsid w:val="009226CC"/>
    <w:rsid w:val="00923A80"/>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1BA3"/>
    <w:rsid w:val="0096234D"/>
    <w:rsid w:val="0096315A"/>
    <w:rsid w:val="009668DF"/>
    <w:rsid w:val="0096755B"/>
    <w:rsid w:val="00971C39"/>
    <w:rsid w:val="00971CD8"/>
    <w:rsid w:val="00971CF9"/>
    <w:rsid w:val="00973530"/>
    <w:rsid w:val="00976EBF"/>
    <w:rsid w:val="009917F6"/>
    <w:rsid w:val="00991FA3"/>
    <w:rsid w:val="00992B14"/>
    <w:rsid w:val="00992C36"/>
    <w:rsid w:val="00995E13"/>
    <w:rsid w:val="009966D8"/>
    <w:rsid w:val="00997E52"/>
    <w:rsid w:val="009A3ADE"/>
    <w:rsid w:val="009A3EB9"/>
    <w:rsid w:val="009A4EDA"/>
    <w:rsid w:val="009A6F32"/>
    <w:rsid w:val="009A7D32"/>
    <w:rsid w:val="009B31D4"/>
    <w:rsid w:val="009B3550"/>
    <w:rsid w:val="009B5F1B"/>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4FC5"/>
    <w:rsid w:val="00A4562D"/>
    <w:rsid w:val="00A53B46"/>
    <w:rsid w:val="00A53D8D"/>
    <w:rsid w:val="00A55578"/>
    <w:rsid w:val="00A56FB1"/>
    <w:rsid w:val="00A60138"/>
    <w:rsid w:val="00A60367"/>
    <w:rsid w:val="00A603FF"/>
    <w:rsid w:val="00A60525"/>
    <w:rsid w:val="00A643B4"/>
    <w:rsid w:val="00A65BF5"/>
    <w:rsid w:val="00A67D7C"/>
    <w:rsid w:val="00A71EB5"/>
    <w:rsid w:val="00A73F35"/>
    <w:rsid w:val="00A777BB"/>
    <w:rsid w:val="00A77FA8"/>
    <w:rsid w:val="00A823CC"/>
    <w:rsid w:val="00A85E02"/>
    <w:rsid w:val="00A861DA"/>
    <w:rsid w:val="00A86361"/>
    <w:rsid w:val="00A86D4A"/>
    <w:rsid w:val="00A9108E"/>
    <w:rsid w:val="00A922DD"/>
    <w:rsid w:val="00A92D30"/>
    <w:rsid w:val="00A9468B"/>
    <w:rsid w:val="00A954D5"/>
    <w:rsid w:val="00AA042C"/>
    <w:rsid w:val="00AA147A"/>
    <w:rsid w:val="00AA3E22"/>
    <w:rsid w:val="00AA4A5D"/>
    <w:rsid w:val="00AA4D0B"/>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74323"/>
    <w:rsid w:val="00B74687"/>
    <w:rsid w:val="00B770E4"/>
    <w:rsid w:val="00B77B28"/>
    <w:rsid w:val="00B85107"/>
    <w:rsid w:val="00B87325"/>
    <w:rsid w:val="00B90767"/>
    <w:rsid w:val="00B92DDC"/>
    <w:rsid w:val="00B9581F"/>
    <w:rsid w:val="00B95DA9"/>
    <w:rsid w:val="00B964A9"/>
    <w:rsid w:val="00BA03FB"/>
    <w:rsid w:val="00BA0AF4"/>
    <w:rsid w:val="00BA294E"/>
    <w:rsid w:val="00BA5BA8"/>
    <w:rsid w:val="00BA689E"/>
    <w:rsid w:val="00BA6E1D"/>
    <w:rsid w:val="00BB3238"/>
    <w:rsid w:val="00BB68C5"/>
    <w:rsid w:val="00BB69AB"/>
    <w:rsid w:val="00BB756E"/>
    <w:rsid w:val="00BC0037"/>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C61"/>
    <w:rsid w:val="00C0524E"/>
    <w:rsid w:val="00C05979"/>
    <w:rsid w:val="00C071ED"/>
    <w:rsid w:val="00C076B9"/>
    <w:rsid w:val="00C114F1"/>
    <w:rsid w:val="00C1197F"/>
    <w:rsid w:val="00C12ABC"/>
    <w:rsid w:val="00C3105F"/>
    <w:rsid w:val="00C3288A"/>
    <w:rsid w:val="00C33A4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8789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9B2"/>
    <w:rsid w:val="00D85D7A"/>
    <w:rsid w:val="00D97205"/>
    <w:rsid w:val="00DA1493"/>
    <w:rsid w:val="00DA5423"/>
    <w:rsid w:val="00DA5FFA"/>
    <w:rsid w:val="00DB1C87"/>
    <w:rsid w:val="00DB6140"/>
    <w:rsid w:val="00DC3080"/>
    <w:rsid w:val="00DC45E2"/>
    <w:rsid w:val="00DC56CC"/>
    <w:rsid w:val="00DC5C37"/>
    <w:rsid w:val="00DC7BC9"/>
    <w:rsid w:val="00DC7C14"/>
    <w:rsid w:val="00DD1BB9"/>
    <w:rsid w:val="00DD2B54"/>
    <w:rsid w:val="00DD43EA"/>
    <w:rsid w:val="00DD65A2"/>
    <w:rsid w:val="00DD7036"/>
    <w:rsid w:val="00DE370D"/>
    <w:rsid w:val="00DE544D"/>
    <w:rsid w:val="00DE6027"/>
    <w:rsid w:val="00DF35AB"/>
    <w:rsid w:val="00DF7926"/>
    <w:rsid w:val="00E00059"/>
    <w:rsid w:val="00E0092D"/>
    <w:rsid w:val="00E075EC"/>
    <w:rsid w:val="00E077C6"/>
    <w:rsid w:val="00E07E32"/>
    <w:rsid w:val="00E10ADC"/>
    <w:rsid w:val="00E13E64"/>
    <w:rsid w:val="00E1592F"/>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304"/>
    <w:rsid w:val="00EA2D95"/>
    <w:rsid w:val="00EA30BD"/>
    <w:rsid w:val="00EB20A0"/>
    <w:rsid w:val="00EB4417"/>
    <w:rsid w:val="00EB6397"/>
    <w:rsid w:val="00EB7FF7"/>
    <w:rsid w:val="00EC6E24"/>
    <w:rsid w:val="00ED0627"/>
    <w:rsid w:val="00ED64BA"/>
    <w:rsid w:val="00EE2216"/>
    <w:rsid w:val="00EE44C9"/>
    <w:rsid w:val="00EE5345"/>
    <w:rsid w:val="00EE5B45"/>
    <w:rsid w:val="00EE7A8D"/>
    <w:rsid w:val="00EF1196"/>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214B"/>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105A"/>
    <w:rsid w:val="00FA46B4"/>
    <w:rsid w:val="00FB0884"/>
    <w:rsid w:val="00FB1D9F"/>
    <w:rsid w:val="00FB3E47"/>
    <w:rsid w:val="00FB68C9"/>
    <w:rsid w:val="00FB7438"/>
    <w:rsid w:val="00FC0E7D"/>
    <w:rsid w:val="00FC29A3"/>
    <w:rsid w:val="00FD09A0"/>
    <w:rsid w:val="00FD1DE4"/>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basedOn w:val="a"/>
    <w:uiPriority w:val="34"/>
    <w:qFormat/>
    <w:rsid w:val="00F83165"/>
    <w:pPr>
      <w:ind w:left="720"/>
    </w:pPr>
    <w:rPr>
      <w:rFonts w:ascii="Calibri" w:eastAsiaTheme="minorHAnsi" w:hAnsi="Calibri"/>
      <w:sz w:val="22"/>
      <w:szCs w:val="22"/>
      <w:lang w:val="en-AU" w:eastAsia="en-AU"/>
    </w:rPr>
  </w:style>
  <w:style w:type="paragraph" w:styleId="a6">
    <w:name w:val="Balloon Text"/>
    <w:basedOn w:val="a"/>
    <w:link w:val="a7"/>
    <w:uiPriority w:val="99"/>
    <w:semiHidden/>
    <w:unhideWhenUsed/>
    <w:rsid w:val="009E7779"/>
    <w:rPr>
      <w:rFonts w:ascii="Tahoma" w:hAnsi="Tahoma" w:cs="Tahoma"/>
      <w:sz w:val="16"/>
      <w:szCs w:val="16"/>
    </w:rPr>
  </w:style>
  <w:style w:type="character" w:customStyle="1" w:styleId="a7">
    <w:name w:val="批注框文本 字符"/>
    <w:basedOn w:val="a0"/>
    <w:link w:val="a6"/>
    <w:uiPriority w:val="99"/>
    <w:semiHidden/>
    <w:rsid w:val="009E7779"/>
    <w:rPr>
      <w:rFonts w:ascii="Tahoma" w:eastAsia="宋体" w:hAnsi="Tahoma" w:cs="Tahoma"/>
      <w:sz w:val="16"/>
      <w:szCs w:val="16"/>
      <w:lang w:val="en-US" w:eastAsia="zh-CN"/>
    </w:rPr>
  </w:style>
  <w:style w:type="character" w:styleId="a8">
    <w:name w:val="Hyperlink"/>
    <w:basedOn w:val="a0"/>
    <w:uiPriority w:val="99"/>
    <w:unhideWhenUsed/>
    <w:rsid w:val="00C63660"/>
    <w:rPr>
      <w:color w:val="0000FF" w:themeColor="hyperlink"/>
      <w:u w:val="single"/>
    </w:rPr>
  </w:style>
  <w:style w:type="character" w:styleId="a9">
    <w:name w:val="FollowedHyperlink"/>
    <w:basedOn w:val="a0"/>
    <w:uiPriority w:val="99"/>
    <w:semiHidden/>
    <w:unhideWhenUsed/>
    <w:rsid w:val="00C63660"/>
    <w:rPr>
      <w:color w:val="800080" w:themeColor="followedHyperlink"/>
      <w:u w:val="single"/>
    </w:rPr>
  </w:style>
  <w:style w:type="paragraph" w:styleId="aa">
    <w:name w:val="caption"/>
    <w:basedOn w:val="a"/>
    <w:next w:val="a"/>
    <w:uiPriority w:val="35"/>
    <w:unhideWhenUsed/>
    <w:qFormat/>
    <w:rsid w:val="00E424AA"/>
    <w:pPr>
      <w:spacing w:after="200"/>
    </w:pPr>
    <w:rPr>
      <w:b/>
      <w:bCs/>
      <w:color w:val="4F81BD" w:themeColor="accent1"/>
      <w:sz w:val="18"/>
      <w:szCs w:val="18"/>
    </w:rPr>
  </w:style>
  <w:style w:type="table" w:styleId="ab">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537E71"/>
    <w:pPr>
      <w:tabs>
        <w:tab w:val="center" w:pos="4513"/>
        <w:tab w:val="right" w:pos="9026"/>
      </w:tabs>
    </w:pPr>
  </w:style>
  <w:style w:type="character" w:customStyle="1" w:styleId="ad">
    <w:name w:val="页脚 字符"/>
    <w:basedOn w:val="a0"/>
    <w:link w:val="ac"/>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e">
    <w:name w:val="annotation reference"/>
    <w:basedOn w:val="a0"/>
    <w:uiPriority w:val="99"/>
    <w:semiHidden/>
    <w:unhideWhenUsed/>
    <w:rsid w:val="003D010A"/>
    <w:rPr>
      <w:sz w:val="16"/>
      <w:szCs w:val="16"/>
    </w:rPr>
  </w:style>
  <w:style w:type="paragraph" w:styleId="af">
    <w:name w:val="annotation text"/>
    <w:basedOn w:val="a"/>
    <w:link w:val="af0"/>
    <w:uiPriority w:val="99"/>
    <w:semiHidden/>
    <w:unhideWhenUsed/>
    <w:rsid w:val="003D010A"/>
    <w:rPr>
      <w:sz w:val="20"/>
      <w:szCs w:val="20"/>
    </w:rPr>
  </w:style>
  <w:style w:type="character" w:customStyle="1" w:styleId="af0">
    <w:name w:val="批注文字 字符"/>
    <w:basedOn w:val="a0"/>
    <w:link w:val="af"/>
    <w:uiPriority w:val="99"/>
    <w:semiHidden/>
    <w:rsid w:val="003D010A"/>
    <w:rPr>
      <w:rFonts w:ascii="Times New Roman" w:eastAsia="宋体" w:hAnsi="Times New Roman" w:cs="Times New Roman"/>
      <w:sz w:val="20"/>
      <w:szCs w:val="20"/>
      <w:lang w:val="en-US" w:eastAsia="zh-CN"/>
    </w:rPr>
  </w:style>
  <w:style w:type="paragraph" w:styleId="af1">
    <w:name w:val="annotation subject"/>
    <w:basedOn w:val="af"/>
    <w:next w:val="af"/>
    <w:link w:val="af2"/>
    <w:uiPriority w:val="99"/>
    <w:semiHidden/>
    <w:unhideWhenUsed/>
    <w:rsid w:val="003D010A"/>
    <w:rPr>
      <w:b/>
      <w:bCs/>
    </w:rPr>
  </w:style>
  <w:style w:type="character" w:customStyle="1" w:styleId="af2">
    <w:name w:val="批注主题 字符"/>
    <w:basedOn w:val="af0"/>
    <w:link w:val="af1"/>
    <w:uiPriority w:val="99"/>
    <w:semiHidden/>
    <w:rsid w:val="003D010A"/>
    <w:rPr>
      <w:rFonts w:ascii="Times New Roman" w:eastAsia="宋体" w:hAnsi="Times New Roman" w:cs="Times New Roman"/>
      <w:b/>
      <w:bCs/>
      <w:sz w:val="20"/>
      <w:szCs w:val="20"/>
      <w:lang w:val="en-US" w:eastAsia="zh-CN"/>
    </w:rPr>
  </w:style>
  <w:style w:type="character" w:styleId="af3">
    <w:name w:val="Placeholder Text"/>
    <w:basedOn w:val="a0"/>
    <w:uiPriority w:val="99"/>
    <w:semiHidden/>
    <w:rsid w:val="00CC4273"/>
    <w:rPr>
      <w:color w:val="808080"/>
    </w:rPr>
  </w:style>
  <w:style w:type="paragraph" w:styleId="af4">
    <w:name w:val="Body Text"/>
    <w:aliases w:val="bt"/>
    <w:basedOn w:val="a"/>
    <w:link w:val="af5"/>
    <w:rsid w:val="00CB22EF"/>
    <w:pPr>
      <w:spacing w:after="120"/>
      <w:ind w:left="1440" w:hanging="1440"/>
      <w:jc w:val="both"/>
    </w:pPr>
    <w:rPr>
      <w:rFonts w:ascii="Times" w:eastAsia="Batang" w:hAnsi="Times"/>
      <w:sz w:val="20"/>
      <w:lang w:val="en-GB" w:eastAsia="en-US"/>
    </w:rPr>
  </w:style>
  <w:style w:type="character" w:customStyle="1" w:styleId="af5">
    <w:name w:val="正文文本 字符"/>
    <w:aliases w:val="bt 字符"/>
    <w:basedOn w:val="a0"/>
    <w:link w:val="af4"/>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4"/>
    <w:link w:val="tdocparaChar"/>
    <w:qFormat/>
    <w:rsid w:val="00EB4417"/>
    <w:pPr>
      <w:ind w:left="0" w:firstLine="0"/>
    </w:pPr>
    <w:rPr>
      <w:bCs/>
      <w:lang w:eastAsia="en-AU"/>
    </w:rPr>
  </w:style>
  <w:style w:type="character" w:customStyle="1" w:styleId="tdocparaChar">
    <w:name w:val="tdoc para Char"/>
    <w:basedOn w:val="af5"/>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ABBA5-AB5B-44F3-B8A5-B1B66C9E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4</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51</cp:revision>
  <cp:lastPrinted>2016-09-16T03:38:00Z</cp:lastPrinted>
  <dcterms:created xsi:type="dcterms:W3CDTF">2018-09-27T05:14:00Z</dcterms:created>
  <dcterms:modified xsi:type="dcterms:W3CDTF">2018-11-01T11:03:00Z</dcterms:modified>
</cp:coreProperties>
</file>